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B" w:rsidRPr="004B6EF0" w:rsidRDefault="0033331B" w:rsidP="00A94064">
      <w:pPr>
        <w:jc w:val="center"/>
        <w:rPr>
          <w:color w:val="C00000"/>
          <w:sz w:val="28"/>
          <w:szCs w:val="28"/>
        </w:rPr>
      </w:pPr>
      <w:r w:rsidRPr="004B6EF0">
        <w:rPr>
          <w:b/>
          <w:sz w:val="32"/>
          <w:szCs w:val="32"/>
        </w:rPr>
        <w:t>DECISÃO Nº</w:t>
      </w:r>
      <w:r w:rsidR="00181407" w:rsidRPr="004B6EF0">
        <w:rPr>
          <w:b/>
          <w:sz w:val="32"/>
          <w:szCs w:val="32"/>
        </w:rPr>
        <w:t xml:space="preserve"> 056/2019</w:t>
      </w:r>
    </w:p>
    <w:p w:rsidR="004B6EF0" w:rsidRDefault="004B6EF0" w:rsidP="0033331B">
      <w:pPr>
        <w:spacing w:after="0" w:line="360" w:lineRule="auto"/>
        <w:jc w:val="both"/>
        <w:rPr>
          <w:b/>
        </w:rPr>
      </w:pPr>
    </w:p>
    <w:p w:rsidR="0033331B" w:rsidRPr="004B6EF0" w:rsidRDefault="004B6EF0" w:rsidP="0033331B">
      <w:pPr>
        <w:spacing w:after="0" w:line="360" w:lineRule="auto"/>
        <w:jc w:val="both"/>
        <w:rPr>
          <w:b/>
        </w:rPr>
      </w:pPr>
      <w:r w:rsidRPr="004B6EF0">
        <w:rPr>
          <w:b/>
        </w:rPr>
        <w:t>Procedimento administrativo nº</w:t>
      </w:r>
      <w:r w:rsidR="00D0186D" w:rsidRPr="004B6EF0">
        <w:rPr>
          <w:b/>
        </w:rPr>
        <w:t xml:space="preserve"> 102/2019</w:t>
      </w:r>
      <w:r>
        <w:rPr>
          <w:b/>
        </w:rPr>
        <w:t>.</w:t>
      </w:r>
    </w:p>
    <w:p w:rsidR="00D0186D" w:rsidRDefault="00D0186D" w:rsidP="0033331B">
      <w:pPr>
        <w:spacing w:after="0" w:line="360" w:lineRule="auto"/>
        <w:jc w:val="both"/>
        <w:rPr>
          <w:b/>
          <w:u w:val="single"/>
        </w:rPr>
      </w:pPr>
    </w:p>
    <w:p w:rsidR="00D0186D" w:rsidRPr="00EC4169" w:rsidRDefault="00D0186D" w:rsidP="00D0186D">
      <w:pPr>
        <w:pStyle w:val="NormalWeb"/>
        <w:spacing w:before="0" w:beforeAutospacing="0" w:after="0" w:afterAutospacing="0" w:line="360" w:lineRule="auto"/>
        <w:jc w:val="both"/>
      </w:pPr>
      <w:r w:rsidRPr="00EC4169">
        <w:rPr>
          <w:b/>
          <w:u w:val="single"/>
        </w:rPr>
        <w:t>OBJETO</w:t>
      </w:r>
      <w:r w:rsidRPr="00EC4169">
        <w:rPr>
          <w:b/>
        </w:rPr>
        <w:t xml:space="preserve">: </w:t>
      </w:r>
      <w:r w:rsidRPr="00EC4169">
        <w:t xml:space="preserve">Reajuste tarifário anual </w:t>
      </w:r>
      <w:r>
        <w:t xml:space="preserve">de água e </w:t>
      </w:r>
      <w:r w:rsidRPr="00EC4169">
        <w:t>dos serviços públicos prestados pelo Serviço Autônomo Municipal de Água e Esgoto de Brusque – SAMAE.</w:t>
      </w:r>
    </w:p>
    <w:p w:rsidR="00D0186D" w:rsidRPr="00EC4169" w:rsidRDefault="00D0186D" w:rsidP="00D0186D">
      <w:pPr>
        <w:pStyle w:val="NormalWeb"/>
        <w:spacing w:before="0" w:beforeAutospacing="0" w:after="0" w:afterAutospacing="0" w:line="360" w:lineRule="auto"/>
        <w:jc w:val="both"/>
      </w:pPr>
      <w:r w:rsidRPr="00EC4169">
        <w:rPr>
          <w:b/>
          <w:u w:val="single"/>
        </w:rPr>
        <w:t>SOLICITANTE</w:t>
      </w:r>
      <w:r w:rsidRPr="00EC4169">
        <w:rPr>
          <w:b/>
        </w:rPr>
        <w:t xml:space="preserve">: </w:t>
      </w:r>
      <w:r w:rsidRPr="00EC4169">
        <w:t xml:space="preserve">Serviço Autônomo Municipal de Água e Esgoto de Brusque </w:t>
      </w:r>
      <w:r>
        <w:t>–</w:t>
      </w:r>
      <w:r w:rsidRPr="00EC4169">
        <w:t xml:space="preserve"> SAMAE.</w:t>
      </w:r>
    </w:p>
    <w:p w:rsidR="00D0186D" w:rsidRPr="00EC4169" w:rsidRDefault="00D0186D" w:rsidP="00D0186D">
      <w:pPr>
        <w:spacing w:after="0" w:line="360" w:lineRule="auto"/>
        <w:jc w:val="both"/>
      </w:pPr>
      <w:r w:rsidRPr="00EC4169">
        <w:rPr>
          <w:b/>
          <w:u w:val="single"/>
        </w:rPr>
        <w:t>INTERESSADO</w:t>
      </w:r>
      <w:r w:rsidRPr="00EC4169">
        <w:rPr>
          <w:b/>
        </w:rPr>
        <w:t xml:space="preserve">: </w:t>
      </w:r>
      <w:r w:rsidRPr="00EC4169">
        <w:t>Município e SAMAE de Brusque.</w:t>
      </w:r>
    </w:p>
    <w:p w:rsidR="00D0186D" w:rsidRDefault="00D0186D" w:rsidP="008D500B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62F24" w:rsidRDefault="00862F24" w:rsidP="008D500B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62F24">
        <w:rPr>
          <w:b/>
          <w:sz w:val="28"/>
          <w:szCs w:val="28"/>
        </w:rPr>
        <w:t>1º - DO RELATÓRIO</w:t>
      </w:r>
    </w:p>
    <w:p w:rsidR="00D0186D" w:rsidRDefault="00D0186D" w:rsidP="008D500B">
      <w:pPr>
        <w:pStyle w:val="NormalWeb"/>
        <w:spacing w:before="0" w:beforeAutospacing="0" w:after="0" w:afterAutospacing="0" w:line="360" w:lineRule="auto"/>
        <w:jc w:val="both"/>
      </w:pPr>
      <w:r w:rsidRPr="007728C0">
        <w:t xml:space="preserve">O Serviço Autônomo Municipal de Água e Esgoto </w:t>
      </w:r>
      <w:r>
        <w:t xml:space="preserve">– </w:t>
      </w:r>
      <w:r w:rsidRPr="007728C0">
        <w:t xml:space="preserve">SAMAE de Brusque, enviou a esta Agência Reguladora o Ofício </w:t>
      </w:r>
      <w:r>
        <w:t xml:space="preserve">nº </w:t>
      </w:r>
      <w:r w:rsidRPr="007728C0">
        <w:t>01</w:t>
      </w:r>
      <w:r>
        <w:t>2</w:t>
      </w:r>
      <w:r w:rsidRPr="007728C0">
        <w:t>/201</w:t>
      </w:r>
      <w:r>
        <w:t>9 emitido em</w:t>
      </w:r>
      <w:r w:rsidRPr="007728C0">
        <w:t xml:space="preserve"> dia 15 de fevereiro de 201</w:t>
      </w:r>
      <w:r>
        <w:t>9 e</w:t>
      </w:r>
      <w:r w:rsidRPr="007728C0">
        <w:t xml:space="preserve">, recebido no </w:t>
      </w:r>
      <w:r>
        <w:t xml:space="preserve">dia 18 de fevereiro de 2019, </w:t>
      </w:r>
      <w:r w:rsidR="00BA42D1">
        <w:t>no</w:t>
      </w:r>
      <w:r>
        <w:t xml:space="preserve"> qual trata-se d</w:t>
      </w:r>
      <w:r w:rsidRPr="007728C0">
        <w:t>a solicitação de reajuste tarifário anual</w:t>
      </w:r>
      <w:r>
        <w:t xml:space="preserve"> de água e </w:t>
      </w:r>
      <w:r w:rsidRPr="0077104B">
        <w:rPr>
          <w:bCs/>
        </w:rPr>
        <w:t xml:space="preserve">dos </w:t>
      </w:r>
      <w:r w:rsidRPr="0077104B">
        <w:t>serviços públicos prestados, considerando os valores obtidos através do Índice Nacional de Preço ao Consumidor – INPC, com o objetivo de restabelecer seu poder de compra.</w:t>
      </w:r>
      <w:r w:rsidRPr="0077104B">
        <w:rPr>
          <w:bCs/>
        </w:rPr>
        <w:t xml:space="preserve"> Assim, diante da solicitação, a AGIR, instaurou o Procedimento Administrativo nº </w:t>
      </w:r>
      <w:r>
        <w:rPr>
          <w:bCs/>
        </w:rPr>
        <w:t>102</w:t>
      </w:r>
      <w:r w:rsidRPr="0077104B">
        <w:rPr>
          <w:bCs/>
        </w:rPr>
        <w:t>/201</w:t>
      </w:r>
      <w:r>
        <w:rPr>
          <w:bCs/>
        </w:rPr>
        <w:t>9</w:t>
      </w:r>
      <w:r w:rsidRPr="0077104B">
        <w:rPr>
          <w:bCs/>
        </w:rPr>
        <w:t xml:space="preserve">, cujo objeto é a </w:t>
      </w:r>
      <w:r w:rsidRPr="0077104B">
        <w:t xml:space="preserve">análise do pedido de reajuste tarifário anual </w:t>
      </w:r>
      <w:r>
        <w:t xml:space="preserve">de água e </w:t>
      </w:r>
      <w:r w:rsidRPr="0077104B">
        <w:t>dos serviços públicos prestados pelo Serviço Autônomo Municipal de Água e Esgoto de Brusque – SAMAE</w:t>
      </w:r>
      <w:r>
        <w:t>.</w:t>
      </w:r>
      <w:r>
        <w:rPr>
          <w:rStyle w:val="Refdenotaderodap"/>
        </w:rPr>
        <w:footnoteReference w:id="1"/>
      </w:r>
    </w:p>
    <w:p w:rsidR="000A1BA2" w:rsidRDefault="000A1BA2" w:rsidP="008D500B">
      <w:pPr>
        <w:pStyle w:val="NormalWeb"/>
        <w:spacing w:before="0" w:beforeAutospacing="0" w:after="0" w:afterAutospacing="0" w:line="360" w:lineRule="auto"/>
        <w:jc w:val="both"/>
      </w:pPr>
    </w:p>
    <w:p w:rsidR="000A1BA2" w:rsidRDefault="000A1BA2" w:rsidP="008D500B">
      <w:pPr>
        <w:pStyle w:val="NormalWeb"/>
        <w:spacing w:before="0" w:beforeAutospacing="0" w:after="0" w:afterAutospacing="0" w:line="360" w:lineRule="auto"/>
        <w:jc w:val="both"/>
      </w:pPr>
      <w:r>
        <w:t>Determinadas as providências preliminares, a</w:t>
      </w:r>
      <w:r w:rsidR="00DC7DAC">
        <w:t xml:space="preserve"> Gerência de Estudos Econômico-</w:t>
      </w:r>
      <w:r>
        <w:t>Financeiros emitiu o Parecer Administrativo nº 077/2019, ao longo de 29 (vinte e nove) páginas, onde fig</w:t>
      </w:r>
      <w:r w:rsidR="00DC7DAC">
        <w:t>uram, desde a identificação da A</w:t>
      </w:r>
      <w:r>
        <w:t xml:space="preserve">gência (p. 1-3), os dados do município e do SAMAE (p. 3-4) e um resumo </w:t>
      </w:r>
      <w:r w:rsidR="00DC7DAC">
        <w:t>do pleito. Todo trabalho da Gerê</w:t>
      </w:r>
      <w:r>
        <w:t xml:space="preserve">ncia acima mencionada, passa então a estender-se sobre a análise dos investimentos (p. 5-8); faz um retrato do sistema de esgotamento sanitário (p. 8-9) onde conclui que apesar de previsão </w:t>
      </w:r>
      <w:r w:rsidR="002667DB">
        <w:t>em seu Plano Municipal de Saneamento Básico, estimando em R$ 44 milhões, nada tem sido aplicado, em uma previsão de 36</w:t>
      </w:r>
      <w:r w:rsidR="00DC7DAC">
        <w:t xml:space="preserve"> (trinta e seis)</w:t>
      </w:r>
      <w:r w:rsidR="002667DB">
        <w:t xml:space="preserve"> meses, </w:t>
      </w:r>
      <w:r w:rsidR="00BA42D1">
        <w:t xml:space="preserve">contando </w:t>
      </w:r>
      <w:r w:rsidR="002667DB">
        <w:t>só com financiamento do mercado.</w:t>
      </w:r>
    </w:p>
    <w:p w:rsidR="002667DB" w:rsidRDefault="002667DB" w:rsidP="008D500B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Ao fazer a análise do comprometimento da receita com os investimentos, analisando a série histórica, consta-se que a média percentual vem sofrendo séria redução, o que não é aceitável, olhando para o porte do SAMAE de Brusque.</w:t>
      </w:r>
    </w:p>
    <w:p w:rsidR="002667DB" w:rsidRDefault="002667DB" w:rsidP="008D500B">
      <w:pPr>
        <w:pStyle w:val="NormalWeb"/>
        <w:spacing w:before="0" w:beforeAutospacing="0" w:after="0" w:afterAutospacing="0" w:line="360" w:lineRule="auto"/>
        <w:jc w:val="both"/>
      </w:pPr>
      <w:r>
        <w:t>Na sequência da análise das informações fornecidas pela autarquia municipal, o parecer adentra na comparação do consumo de energia elétrica e os volumes medidos da água produzida, como pode ser auferido na visualização do Quadro 7 do Relatório (p. 11-12) e também no Gráfico 1</w:t>
      </w:r>
      <w:r w:rsidR="00B759CD">
        <w:t xml:space="preserve"> e 2</w:t>
      </w:r>
      <w:r>
        <w:t>, nos quais verifica-se certa estabilização no consumo da energia elétrica</w:t>
      </w:r>
      <w:r w:rsidR="00B759CD">
        <w:t xml:space="preserve">.  Mesmo assim constata-se que o aumento de energia foi maior do que a efetiva produção, situação que merece por parte da gestão, uma melhoria e ou um equilíbrio. Tudo isso é bem ilustrado através dos gráficos 3, 4 e do Quadro 8. Já </w:t>
      </w:r>
      <w:r w:rsidR="00BA42D1">
        <w:t>a</w:t>
      </w:r>
      <w:r w:rsidR="00B759CD">
        <w:t xml:space="preserve"> partir do item 5.1, p. 16, é demonstrada a produção da água (volume), ao longo das páginas 19, inclusive havendo (Quadro 11) uma análise das perdas. O item 5.4, por sua vez faz toda a análise do parque hidrômetros e constata-se que mesmo com a mudança, houve um pequeno aumento das perdas, quando deveria ser o contrário. Tal constatação merece certa atenção da Autarquia para o entendimento e melhoria deste parâmetro.</w:t>
      </w:r>
    </w:p>
    <w:p w:rsidR="00D0186D" w:rsidRDefault="00BA42D1" w:rsidP="008D500B">
      <w:pPr>
        <w:pStyle w:val="NormalWeb"/>
        <w:spacing w:before="0" w:beforeAutospacing="0" w:after="0" w:afterAutospacing="0" w:line="360" w:lineRule="auto"/>
        <w:jc w:val="both"/>
      </w:pPr>
      <w:r>
        <w:t>A</w:t>
      </w:r>
      <w:r w:rsidR="00B759CD">
        <w:t xml:space="preserve"> partir do item 6, é feita, com bastante atenção, a análise dos dados financeiros e contábeis, que passa pela in</w:t>
      </w:r>
      <w:r w:rsidR="00B35DBB">
        <w:t>ad</w:t>
      </w:r>
      <w:r w:rsidR="00B759CD">
        <w:t>implência</w:t>
      </w:r>
      <w:r w:rsidR="00B35DBB">
        <w:t>, pelo orçamento público que, segundo demonstra o Quadro 15, a existência de saldo final em dezembro de 2018, no valor de R$ 3</w:t>
      </w:r>
      <w:r w:rsidR="00D855E4">
        <w:t>0 milhões. E sua análise, a Gerê</w:t>
      </w:r>
      <w:r w:rsidR="00B35DBB">
        <w:t xml:space="preserve">ncia assim se manifesta: </w:t>
      </w:r>
    </w:p>
    <w:p w:rsidR="00B35DBB" w:rsidRDefault="00B35DBB" w:rsidP="00B35DBB">
      <w:pPr>
        <w:spacing w:after="0" w:line="360" w:lineRule="auto"/>
        <w:ind w:left="1418" w:hanging="567"/>
        <w:jc w:val="both"/>
        <w:rPr>
          <w:bCs/>
          <w:i/>
          <w:sz w:val="20"/>
          <w:szCs w:val="20"/>
        </w:rPr>
      </w:pPr>
      <w:r>
        <w:tab/>
      </w:r>
      <w:r w:rsidRPr="00B35DBB">
        <w:rPr>
          <w:i/>
          <w:sz w:val="20"/>
          <w:szCs w:val="20"/>
        </w:rPr>
        <w:t>“</w:t>
      </w:r>
      <w:r w:rsidRPr="00B35DBB">
        <w:rPr>
          <w:bCs/>
          <w:i/>
          <w:sz w:val="20"/>
          <w:szCs w:val="20"/>
        </w:rPr>
        <w:t xml:space="preserve">A prestadora apresenta, ao final do exercício suficiência de caixa numa análise prévia, mas quando verificado o Plano Municipal de Saneamento de Brusque – PMSB, conforme evidencia nos Quadros 3 e 4, o valor é ínfimo, frente aos desafios de universalização e regularidade do fornecimento de água tratada e esgotamento sanitário. Na mesma ordem, apresenta-se o orçamento da Autarquia para o exercício de 2018 </w:t>
      </w:r>
      <w:r>
        <w:rPr>
          <w:bCs/>
          <w:i/>
          <w:sz w:val="20"/>
          <w:szCs w:val="20"/>
        </w:rPr>
        <w:t>previsto e executado</w:t>
      </w:r>
      <w:r w:rsidRPr="00B35DBB">
        <w:rPr>
          <w:bCs/>
          <w:i/>
          <w:sz w:val="20"/>
          <w:szCs w:val="20"/>
        </w:rPr>
        <w:t>”</w:t>
      </w:r>
      <w:r>
        <w:rPr>
          <w:bCs/>
          <w:i/>
          <w:sz w:val="20"/>
          <w:szCs w:val="20"/>
        </w:rPr>
        <w:t>.</w:t>
      </w:r>
    </w:p>
    <w:p w:rsidR="00B35DBB" w:rsidRDefault="00B35DBB" w:rsidP="00B35DBB">
      <w:pPr>
        <w:spacing w:after="0" w:line="360" w:lineRule="auto"/>
        <w:ind w:left="1418" w:hanging="567"/>
        <w:jc w:val="both"/>
        <w:rPr>
          <w:bCs/>
          <w:i/>
          <w:sz w:val="20"/>
          <w:szCs w:val="20"/>
        </w:rPr>
      </w:pPr>
    </w:p>
    <w:p w:rsidR="00D0186D" w:rsidRDefault="00B35DBB" w:rsidP="00B35DBB">
      <w:pPr>
        <w:spacing w:after="0" w:line="360" w:lineRule="auto"/>
        <w:jc w:val="both"/>
        <w:rPr>
          <w:bCs/>
        </w:rPr>
      </w:pPr>
      <w:r>
        <w:rPr>
          <w:bCs/>
        </w:rPr>
        <w:t>E prossegue dizendo, em sua análise</w:t>
      </w:r>
    </w:p>
    <w:p w:rsidR="00B35DBB" w:rsidRDefault="00B35DBB" w:rsidP="00B35DBB">
      <w:pPr>
        <w:spacing w:after="0" w:line="360" w:lineRule="auto"/>
        <w:ind w:left="14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B35DBB">
        <w:rPr>
          <w:i/>
          <w:sz w:val="20"/>
          <w:szCs w:val="20"/>
        </w:rPr>
        <w:t>A situação financeira da entidade com valores tímidos para investimentos em se comparando com os planos (necessidades) de 8,16%, como demonstrado acima, considerando que os investimentos deverão ser dessa forma priorizados considerando o superávit apresentado conforme explanado no Quadro 15, o PPA e o PMSB do município</w:t>
      </w:r>
      <w:r>
        <w:rPr>
          <w:i/>
          <w:sz w:val="20"/>
          <w:szCs w:val="20"/>
        </w:rPr>
        <w:t>”</w:t>
      </w:r>
      <w:r w:rsidR="00DC7DAC">
        <w:rPr>
          <w:i/>
          <w:sz w:val="20"/>
          <w:szCs w:val="20"/>
        </w:rPr>
        <w:t>.</w:t>
      </w:r>
    </w:p>
    <w:p w:rsidR="00B35DBB" w:rsidRDefault="00B35DBB" w:rsidP="00B35DBB">
      <w:pPr>
        <w:spacing w:after="0" w:line="360" w:lineRule="auto"/>
        <w:ind w:left="1418"/>
        <w:jc w:val="both"/>
        <w:rPr>
          <w:i/>
          <w:sz w:val="20"/>
          <w:szCs w:val="20"/>
        </w:rPr>
      </w:pPr>
    </w:p>
    <w:p w:rsidR="00F77433" w:rsidRDefault="00BA42D1" w:rsidP="00B35DBB">
      <w:pPr>
        <w:spacing w:after="0" w:line="360" w:lineRule="auto"/>
        <w:jc w:val="both"/>
      </w:pPr>
      <w:r>
        <w:lastRenderedPageBreak/>
        <w:t>A</w:t>
      </w:r>
      <w:r w:rsidR="00B35DBB">
        <w:t xml:space="preserve"> partir do item 6.3 (p. 24), é feita a análise patrimonial da Autarquia SAMAE/Brusque, como os créditos à receber, a dívida fundada, o fluxo de caixa, com a exibição detalha deste </w:t>
      </w:r>
      <w:r w:rsidR="00F77433">
        <w:t>através do Quadro 15, p. 26.</w:t>
      </w:r>
    </w:p>
    <w:p w:rsidR="00F77433" w:rsidRDefault="00F77433" w:rsidP="00B35DBB">
      <w:pPr>
        <w:spacing w:after="0" w:line="360" w:lineRule="auto"/>
        <w:jc w:val="both"/>
      </w:pPr>
      <w:r>
        <w:t xml:space="preserve"> </w:t>
      </w:r>
    </w:p>
    <w:p w:rsidR="00F77433" w:rsidRDefault="00F77433" w:rsidP="00F77433">
      <w:pPr>
        <w:spacing w:after="0" w:line="360" w:lineRule="auto"/>
        <w:jc w:val="both"/>
      </w:pPr>
      <w:r>
        <w:t xml:space="preserve">Por fim referido </w:t>
      </w:r>
      <w:r w:rsidR="00DC7DAC">
        <w:t xml:space="preserve">Parecer nº 077/2019, parte da </w:t>
      </w:r>
      <w:r>
        <w:t>conclusão, apresentando o seu parecer (p. 27-29), em cotejo da Lei</w:t>
      </w:r>
      <w:r w:rsidR="00DC7DAC">
        <w:t xml:space="preserve"> Federal</w:t>
      </w:r>
      <w:r>
        <w:t xml:space="preserve"> nº 11.445/2007, com os art. 22, 29 e 37, e finaliza no sentido que se aplicar o reajuste sobre </w:t>
      </w:r>
      <w:r w:rsidRPr="00184600">
        <w:t xml:space="preserve">o período de </w:t>
      </w:r>
      <w:r w:rsidRPr="00184600">
        <w:rPr>
          <w:u w:val="single"/>
        </w:rPr>
        <w:t>março/201</w:t>
      </w:r>
      <w:r>
        <w:rPr>
          <w:u w:val="single"/>
        </w:rPr>
        <w:t>8</w:t>
      </w:r>
      <w:r w:rsidRPr="00184600">
        <w:rPr>
          <w:u w:val="single"/>
        </w:rPr>
        <w:t xml:space="preserve"> até fevereiro/201</w:t>
      </w:r>
      <w:r>
        <w:rPr>
          <w:u w:val="single"/>
        </w:rPr>
        <w:t>9</w:t>
      </w:r>
      <w:r w:rsidRPr="00184600">
        <w:t>, acarretando em um índice</w:t>
      </w:r>
      <w:r>
        <w:t xml:space="preserve"> acumulado </w:t>
      </w:r>
      <w:r w:rsidRPr="00184600">
        <w:t xml:space="preserve">de </w:t>
      </w:r>
      <w:r w:rsidRPr="003F45AB">
        <w:rPr>
          <w:b/>
        </w:rPr>
        <w:t>3,94%</w:t>
      </w:r>
      <w:r>
        <w:t xml:space="preserve"> </w:t>
      </w:r>
      <w:r w:rsidRPr="00662C5A">
        <w:t>(</w:t>
      </w:r>
      <w:r>
        <w:t xml:space="preserve">três </w:t>
      </w:r>
      <w:r w:rsidRPr="00662C5A">
        <w:t xml:space="preserve">vírgula </w:t>
      </w:r>
      <w:r>
        <w:t xml:space="preserve">noventa e quatro </w:t>
      </w:r>
      <w:r w:rsidRPr="00662C5A">
        <w:t>por cento</w:t>
      </w:r>
      <w:r>
        <w:t>),</w:t>
      </w:r>
      <w:r w:rsidRPr="00184600">
        <w:t xml:space="preserve"> recomendado, </w:t>
      </w:r>
      <w:r>
        <w:t>a aplicação d</w:t>
      </w:r>
      <w:r w:rsidRPr="00184600">
        <w:t xml:space="preserve">a composição do Índice Nacional de Preços ao Consumidor </w:t>
      </w:r>
      <w:r>
        <w:t>–</w:t>
      </w:r>
      <w:r w:rsidRPr="00184600">
        <w:t xml:space="preserve"> INPC, acumulado de março de 201</w:t>
      </w:r>
      <w:r>
        <w:t>8</w:t>
      </w:r>
      <w:r w:rsidRPr="00184600">
        <w:t xml:space="preserve"> a fevereiro de 201</w:t>
      </w:r>
      <w:r>
        <w:t xml:space="preserve">9. </w:t>
      </w:r>
    </w:p>
    <w:p w:rsidR="00F77433" w:rsidRDefault="00F77433" w:rsidP="00F77433">
      <w:pPr>
        <w:spacing w:after="0" w:line="360" w:lineRule="auto"/>
        <w:ind w:firstLine="851"/>
        <w:jc w:val="both"/>
      </w:pPr>
      <w:r>
        <w:t xml:space="preserve">Ainda, com justa razão, o Parecer destaca: </w:t>
      </w:r>
    </w:p>
    <w:p w:rsidR="00F77433" w:rsidRDefault="00F77433" w:rsidP="00F77433">
      <w:pPr>
        <w:pStyle w:val="PargrafodaLista"/>
        <w:spacing w:after="0" w:line="360" w:lineRule="auto"/>
        <w:ind w:left="15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F77433">
        <w:rPr>
          <w:i/>
          <w:sz w:val="20"/>
          <w:szCs w:val="20"/>
        </w:rPr>
        <w:t>Que o SAMAE de Brusque apresente um cronograma de trabalho para o exercício 2019 sobre os investimentos devidamente precificados, além disso que a sobra de caixa seja levada a termo em ações a serem desenvolvidas em conformidade com os recursos e planos disponíveis</w:t>
      </w:r>
      <w:r>
        <w:rPr>
          <w:i/>
          <w:sz w:val="20"/>
          <w:szCs w:val="20"/>
        </w:rPr>
        <w:t>”</w:t>
      </w:r>
      <w:r w:rsidRPr="00F77433">
        <w:rPr>
          <w:i/>
          <w:sz w:val="20"/>
          <w:szCs w:val="20"/>
        </w:rPr>
        <w:t xml:space="preserve">; </w:t>
      </w:r>
    </w:p>
    <w:p w:rsidR="00F77433" w:rsidRPr="00F77433" w:rsidRDefault="00F77433" w:rsidP="00F77433">
      <w:pPr>
        <w:pStyle w:val="PargrafodaLista"/>
        <w:spacing w:after="0" w:line="360" w:lineRule="auto"/>
        <w:ind w:left="1560"/>
        <w:jc w:val="both"/>
        <w:rPr>
          <w:i/>
          <w:sz w:val="20"/>
          <w:szCs w:val="20"/>
        </w:rPr>
      </w:pPr>
    </w:p>
    <w:p w:rsidR="00F77433" w:rsidRDefault="00F77433" w:rsidP="00F77433">
      <w:pPr>
        <w:spacing w:after="0" w:line="360" w:lineRule="auto"/>
        <w:jc w:val="both"/>
      </w:pPr>
      <w:r>
        <w:t xml:space="preserve">Na continuidade das análises desta Agência Reguladora, manifesta-se a Assessoria Jurídica, que emite o seu Parecer Jurídico nº 0152/2019, onde faz uma breve análise do pedido, citando documentos </w:t>
      </w:r>
      <w:r w:rsidR="00181407">
        <w:t>e textos legais que estão emb</w:t>
      </w:r>
      <w:r w:rsidR="00D855E4">
        <w:t>asando o pedido formulado pelo</w:t>
      </w:r>
      <w:r w:rsidR="00181407">
        <w:t xml:space="preserve"> SAMAE/Brusque. Discorre também sobre a conceituação entre que é um reajuste e uma revisão, citando doutrinadores e decisões de tribunais, para dar consistência aos seus apontamentos.</w:t>
      </w:r>
    </w:p>
    <w:p w:rsidR="00181407" w:rsidRDefault="00181407" w:rsidP="00F77433">
      <w:pPr>
        <w:spacing w:after="0" w:line="360" w:lineRule="auto"/>
        <w:jc w:val="both"/>
      </w:pPr>
      <w:r>
        <w:t>Por fim, também se manifesta pela oportuna e legal aplicação do reajuste anual. Esse o breve e necessário relatório.</w:t>
      </w:r>
    </w:p>
    <w:p w:rsidR="008D500B" w:rsidRDefault="008D500B" w:rsidP="00862F2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D500B" w:rsidRDefault="008D500B" w:rsidP="00862F2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2º - DECISÃO</w:t>
      </w:r>
    </w:p>
    <w:p w:rsidR="00181407" w:rsidRDefault="00181407" w:rsidP="005B2216">
      <w:pPr>
        <w:tabs>
          <w:tab w:val="left" w:pos="567"/>
        </w:tabs>
        <w:spacing w:after="0" w:line="360" w:lineRule="auto"/>
        <w:jc w:val="both"/>
      </w:pPr>
      <w:r w:rsidRPr="005B2216">
        <w:t>Veio-me nesta data para decisão, o Procedimento Administrativo nº 102/</w:t>
      </w:r>
      <w:r w:rsidR="005B2216" w:rsidRPr="005B2216">
        <w:t xml:space="preserve">2019 </w:t>
      </w:r>
      <w:r w:rsidRPr="005B2216">
        <w:t>que</w:t>
      </w:r>
      <w:r w:rsidR="00D855E4">
        <w:t xml:space="preserve"> trata do</w:t>
      </w:r>
      <w:r w:rsidR="005B2216" w:rsidRPr="005B2216">
        <w:t xml:space="preserve"> pleito do Serviço Autônomo Municipal de Água e Esgoto de Brusque –</w:t>
      </w:r>
      <w:r w:rsidR="005B2216">
        <w:t xml:space="preserve"> SAMAE, para o reajuste da tarifa e serviços de água do Município de Brusque. Requer a Autarquia a aplicação do percentual utilizado pelo Governo Federal, com base n</w:t>
      </w:r>
      <w:r w:rsidR="005B2216" w:rsidRPr="0077104B">
        <w:t>o Índice Nacional de Preço ao Consumidor – INPC</w:t>
      </w:r>
      <w:r w:rsidR="005B2216">
        <w:t>, e aplicável ao período de 12 (doze) meses</w:t>
      </w:r>
      <w:r w:rsidR="001A4BEF">
        <w:t>, ou seja, de março de 2</w:t>
      </w:r>
      <w:r w:rsidR="005B2216">
        <w:t xml:space="preserve">018 a </w:t>
      </w:r>
      <w:r w:rsidR="001A4BEF">
        <w:t>f</w:t>
      </w:r>
      <w:r w:rsidR="005B2216">
        <w:t>evereiro de 2019, e assim, atendendo ao princípio legal temporal previsto no art. 37, da Lei</w:t>
      </w:r>
      <w:r w:rsidR="007D31E8">
        <w:t xml:space="preserve"> Federal</w:t>
      </w:r>
      <w:r w:rsidR="005B2216">
        <w:t xml:space="preserve"> nº 11.445/2007 que dispõe:</w:t>
      </w:r>
    </w:p>
    <w:p w:rsidR="005B2216" w:rsidRDefault="005B2216" w:rsidP="005B2216">
      <w:pPr>
        <w:tabs>
          <w:tab w:val="left" w:pos="567"/>
        </w:tabs>
        <w:spacing w:after="0" w:line="360" w:lineRule="auto"/>
        <w:jc w:val="both"/>
      </w:pPr>
    </w:p>
    <w:p w:rsidR="005B2216" w:rsidRDefault="005B2216" w:rsidP="005B2216">
      <w:pPr>
        <w:tabs>
          <w:tab w:val="left" w:pos="567"/>
        </w:tabs>
        <w:spacing w:after="0" w:line="360" w:lineRule="auto"/>
        <w:ind w:left="15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Art. 37. Os reajustes de tarifas de serviços públicos de saneamento básico serão realizados observando-se o intervalo mínimo de 12 (doze) meses,</w:t>
      </w:r>
      <w:r w:rsidR="001A4BEF">
        <w:rPr>
          <w:i/>
          <w:sz w:val="20"/>
          <w:szCs w:val="20"/>
        </w:rPr>
        <w:t xml:space="preserve"> de acordo com as normas legais, regulamentares e contratuais.</w:t>
      </w:r>
    </w:p>
    <w:p w:rsidR="008B092B" w:rsidRDefault="008B092B" w:rsidP="005B2216">
      <w:pPr>
        <w:tabs>
          <w:tab w:val="left" w:pos="567"/>
        </w:tabs>
        <w:spacing w:after="0" w:line="360" w:lineRule="auto"/>
        <w:ind w:left="1560"/>
        <w:jc w:val="both"/>
        <w:rPr>
          <w:i/>
          <w:sz w:val="20"/>
          <w:szCs w:val="20"/>
        </w:rPr>
      </w:pPr>
    </w:p>
    <w:p w:rsidR="008B092B" w:rsidRPr="00A33A0F" w:rsidRDefault="008B092B" w:rsidP="00D855E4">
      <w:pPr>
        <w:tabs>
          <w:tab w:val="left" w:pos="567"/>
        </w:tabs>
        <w:spacing w:after="0" w:line="360" w:lineRule="auto"/>
        <w:ind w:firstLine="1560"/>
        <w:jc w:val="both"/>
        <w:rPr>
          <w:b/>
        </w:rPr>
      </w:pPr>
      <w:r w:rsidRPr="00A33A0F">
        <w:t xml:space="preserve">Da mesma forma, o Decreto </w:t>
      </w:r>
      <w:hyperlink r:id="rId9" w:history="1">
        <w:r w:rsidR="00A33A0F" w:rsidRPr="00A33A0F">
          <w:rPr>
            <w:rStyle w:val="Hyperlink"/>
            <w:b/>
            <w:bCs/>
            <w:color w:val="auto"/>
            <w:u w:val="none"/>
          </w:rPr>
          <w:t xml:space="preserve"> </w:t>
        </w:r>
        <w:r w:rsidR="00A33A0F">
          <w:rPr>
            <w:rStyle w:val="Hyperlink"/>
            <w:bCs/>
            <w:color w:val="auto"/>
            <w:u w:val="none"/>
          </w:rPr>
          <w:t>nº 7.217, de</w:t>
        </w:r>
        <w:r w:rsidR="00A33A0F" w:rsidRPr="00A33A0F">
          <w:rPr>
            <w:rStyle w:val="Hyperlink"/>
            <w:bCs/>
            <w:color w:val="auto"/>
            <w:u w:val="none"/>
          </w:rPr>
          <w:t xml:space="preserve"> 21</w:t>
        </w:r>
        <w:r w:rsidR="00A33A0F">
          <w:rPr>
            <w:rStyle w:val="Hyperlink"/>
            <w:bCs/>
            <w:color w:val="auto"/>
            <w:u w:val="none"/>
          </w:rPr>
          <w:t xml:space="preserve"> de junho de </w:t>
        </w:r>
        <w:r w:rsidR="00A33A0F" w:rsidRPr="00A33A0F">
          <w:rPr>
            <w:rStyle w:val="Hyperlink"/>
            <w:bCs/>
            <w:color w:val="auto"/>
            <w:u w:val="none"/>
          </w:rPr>
          <w:t>2010</w:t>
        </w:r>
      </w:hyperlink>
      <w:r w:rsidR="00A33A0F" w:rsidRPr="00A33A0F">
        <w:rPr>
          <w:rStyle w:val="Forte"/>
          <w:b w:val="0"/>
        </w:rPr>
        <w:t>, que</w:t>
      </w:r>
      <w:r w:rsidR="00A33A0F">
        <w:rPr>
          <w:rStyle w:val="Forte"/>
          <w:b w:val="0"/>
        </w:rPr>
        <w:t xml:space="preserve"> </w:t>
      </w:r>
      <w:r w:rsidR="00BA42D1">
        <w:rPr>
          <w:rStyle w:val="Forte"/>
          <w:b w:val="0"/>
        </w:rPr>
        <w:t>regulament</w:t>
      </w:r>
      <w:r w:rsidR="00BA42D1" w:rsidRPr="00A33A0F">
        <w:rPr>
          <w:rStyle w:val="Forte"/>
          <w:b w:val="0"/>
        </w:rPr>
        <w:t>a</w:t>
      </w:r>
      <w:r w:rsidR="00A33A0F" w:rsidRPr="00A33A0F">
        <w:rPr>
          <w:rStyle w:val="Forte"/>
          <w:b w:val="0"/>
        </w:rPr>
        <w:t xml:space="preserve"> a </w:t>
      </w:r>
      <w:r w:rsidR="007D31E8">
        <w:rPr>
          <w:rStyle w:val="Forte"/>
          <w:b w:val="0"/>
        </w:rPr>
        <w:t>l</w:t>
      </w:r>
      <w:r w:rsidR="00A33A0F" w:rsidRPr="00A33A0F">
        <w:rPr>
          <w:rStyle w:val="Forte"/>
          <w:b w:val="0"/>
        </w:rPr>
        <w:t>ei acima, diz:</w:t>
      </w:r>
    </w:p>
    <w:p w:rsidR="008B092B" w:rsidRDefault="008B092B" w:rsidP="00A33A0F">
      <w:pPr>
        <w:pStyle w:val="NormalWeb"/>
        <w:ind w:left="1560"/>
        <w:jc w:val="both"/>
        <w:rPr>
          <w:i/>
          <w:color w:val="000000"/>
          <w:sz w:val="20"/>
          <w:szCs w:val="20"/>
        </w:rPr>
      </w:pPr>
      <w:r w:rsidRPr="00A33A0F">
        <w:rPr>
          <w:i/>
          <w:color w:val="000000"/>
          <w:sz w:val="20"/>
          <w:szCs w:val="20"/>
        </w:rPr>
        <w:t>Art. 50.  Os reajustes de tarifas e de outros preços públicos de serviços públicos de saneamento básico serão realizados observando-se o intervalo mínimo de doze meses, de acordo com as normas legais, regulamentares e contratuais. </w:t>
      </w:r>
    </w:p>
    <w:p w:rsidR="005B2216" w:rsidRDefault="001A4BEF" w:rsidP="005B2216">
      <w:pPr>
        <w:tabs>
          <w:tab w:val="left" w:pos="567"/>
        </w:tabs>
        <w:spacing w:after="0" w:line="360" w:lineRule="auto"/>
        <w:jc w:val="both"/>
      </w:pPr>
      <w:bookmarkStart w:id="0" w:name="art50"/>
      <w:bookmarkEnd w:id="0"/>
      <w:r>
        <w:t>É o caso. O último reajuste se deu com a edição do Decreto Municipal nº 8.112, de 03 de abril de 2018, portanto, já decorrido o referido prazo e por isso aplicável o reajuste pleiteado.</w:t>
      </w:r>
    </w:p>
    <w:p w:rsidR="00BC1C91" w:rsidRDefault="00BC1C91" w:rsidP="005B2216">
      <w:pPr>
        <w:tabs>
          <w:tab w:val="left" w:pos="567"/>
        </w:tabs>
        <w:spacing w:after="0" w:line="360" w:lineRule="auto"/>
        <w:jc w:val="both"/>
      </w:pPr>
      <w:r>
        <w:t>Contudo, a responsabilidade regulatória inerente às ativ</w:t>
      </w:r>
      <w:r w:rsidR="007D31E8">
        <w:t>idades desta Agência Regulatória</w:t>
      </w:r>
      <w:r>
        <w:t>, tanto por força da legislação do saneamento básico, explicitada pela</w:t>
      </w:r>
      <w:r w:rsidR="00A33A0F">
        <w:t xml:space="preserve"> Lei</w:t>
      </w:r>
      <w:r w:rsidR="007D31E8">
        <w:t xml:space="preserve"> Federal n°</w:t>
      </w:r>
      <w:r w:rsidR="00A33A0F">
        <w:t xml:space="preserve"> 11.445/2007, e pelo Decreto nº</w:t>
      </w:r>
      <w:r w:rsidR="00A33A0F" w:rsidRPr="00A33A0F">
        <w:t xml:space="preserve"> 7.217, de 21 de junho de 2010</w:t>
      </w:r>
      <w:r w:rsidR="00A33A0F">
        <w:t>, leva ainda à necessidade de analisar o pleito sob a imposição dada pelo art. 20 da Lei</w:t>
      </w:r>
      <w:r w:rsidR="007D31E8" w:rsidRPr="007D31E8">
        <w:t xml:space="preserve"> </w:t>
      </w:r>
      <w:r w:rsidR="007D31E8">
        <w:t>Federal n°</w:t>
      </w:r>
      <w:proofErr w:type="gramStart"/>
      <w:r w:rsidR="007D31E8">
        <w:t xml:space="preserve"> </w:t>
      </w:r>
      <w:r w:rsidR="00A33A0F">
        <w:t xml:space="preserve"> </w:t>
      </w:r>
      <w:proofErr w:type="gramEnd"/>
      <w:r w:rsidR="00A33A0F">
        <w:t>11.445/2007 que assim está expresso:</w:t>
      </w:r>
    </w:p>
    <w:p w:rsidR="008B092B" w:rsidRPr="00A33A0F" w:rsidRDefault="008B092B" w:rsidP="00A33A0F">
      <w:pPr>
        <w:pStyle w:val="texto1"/>
        <w:spacing w:line="240" w:lineRule="atLeast"/>
        <w:ind w:left="1560"/>
        <w:rPr>
          <w:i/>
          <w:color w:val="000000"/>
          <w:sz w:val="20"/>
          <w:szCs w:val="20"/>
        </w:rPr>
      </w:pPr>
      <w:r w:rsidRPr="00A33A0F">
        <w:rPr>
          <w:i/>
          <w:color w:val="000000"/>
          <w:sz w:val="20"/>
          <w:szCs w:val="20"/>
        </w:rPr>
        <w:t>Art. 20.  (VETADO).</w:t>
      </w:r>
    </w:p>
    <w:p w:rsidR="008B092B" w:rsidRDefault="008B092B" w:rsidP="00A33A0F">
      <w:pPr>
        <w:pStyle w:val="texto1"/>
        <w:spacing w:line="240" w:lineRule="atLeast"/>
        <w:ind w:left="1560"/>
        <w:rPr>
          <w:color w:val="000000"/>
          <w:sz w:val="20"/>
          <w:szCs w:val="20"/>
        </w:rPr>
      </w:pPr>
      <w:r w:rsidRPr="00A33A0F">
        <w:rPr>
          <w:i/>
          <w:color w:val="000000"/>
          <w:sz w:val="20"/>
          <w:szCs w:val="20"/>
        </w:rPr>
        <w:t xml:space="preserve">Parágrafo único.  Incumbe à entidade reguladora e fiscalizadora dos serviços </w:t>
      </w:r>
      <w:r w:rsidRPr="00A33A0F">
        <w:rPr>
          <w:i/>
          <w:color w:val="000000"/>
          <w:sz w:val="20"/>
          <w:szCs w:val="20"/>
          <w:u w:val="single"/>
        </w:rPr>
        <w:t>a verificação do cumprimento dos planos de saneamento</w:t>
      </w:r>
      <w:r w:rsidRPr="00A33A0F">
        <w:rPr>
          <w:i/>
          <w:color w:val="000000"/>
          <w:sz w:val="20"/>
          <w:szCs w:val="20"/>
        </w:rPr>
        <w:t xml:space="preserve"> por parte dos prestadores de serviços, na forma das disposições legais, regulamentares e contratuais.</w:t>
      </w:r>
      <w:r w:rsidR="00A33A0F">
        <w:rPr>
          <w:i/>
          <w:color w:val="000000"/>
          <w:sz w:val="20"/>
          <w:szCs w:val="20"/>
        </w:rPr>
        <w:t xml:space="preserve"> </w:t>
      </w:r>
      <w:r w:rsidR="00A33A0F">
        <w:rPr>
          <w:color w:val="000000"/>
          <w:sz w:val="20"/>
          <w:szCs w:val="20"/>
        </w:rPr>
        <w:t>(</w:t>
      </w:r>
      <w:r w:rsidR="00A33A0F" w:rsidRPr="00A33A0F">
        <w:rPr>
          <w:b/>
          <w:color w:val="000000"/>
          <w:sz w:val="20"/>
          <w:szCs w:val="20"/>
        </w:rPr>
        <w:t>nosso grifo</w:t>
      </w:r>
      <w:r w:rsidR="00A33A0F">
        <w:rPr>
          <w:color w:val="000000"/>
          <w:sz w:val="20"/>
          <w:szCs w:val="20"/>
        </w:rPr>
        <w:t>).</w:t>
      </w:r>
    </w:p>
    <w:p w:rsidR="0059480F" w:rsidRDefault="00184D99" w:rsidP="005333DD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Também os artigos 8º, </w:t>
      </w:r>
      <w:r w:rsidR="00D855E4">
        <w:rPr>
          <w:color w:val="000000"/>
        </w:rPr>
        <w:t xml:space="preserve">inciso </w:t>
      </w:r>
      <w:r>
        <w:rPr>
          <w:color w:val="000000"/>
        </w:rPr>
        <w:t>II, § 4º, art. 21,</w:t>
      </w:r>
      <w:r w:rsidR="00D855E4">
        <w:rPr>
          <w:color w:val="000000"/>
        </w:rPr>
        <w:t xml:space="preserve"> inciso</w:t>
      </w:r>
      <w:r>
        <w:rPr>
          <w:color w:val="000000"/>
        </w:rPr>
        <w:t xml:space="preserve"> II, art. 23,</w:t>
      </w:r>
      <w:r w:rsidR="00D855E4">
        <w:rPr>
          <w:color w:val="000000"/>
        </w:rPr>
        <w:t xml:space="preserve"> incisos</w:t>
      </w:r>
      <w:r>
        <w:rPr>
          <w:color w:val="000000"/>
        </w:rPr>
        <w:t xml:space="preserve"> III, VIII, todas da mesma lei, d</w:t>
      </w:r>
      <w:r w:rsidR="007D31E8">
        <w:rPr>
          <w:color w:val="000000"/>
        </w:rPr>
        <w:t>elimitam essas competências da Agência R</w:t>
      </w:r>
      <w:r>
        <w:rPr>
          <w:color w:val="000000"/>
        </w:rPr>
        <w:t>eguladora.</w:t>
      </w:r>
    </w:p>
    <w:p w:rsidR="005333DD" w:rsidRDefault="005333DD" w:rsidP="005333DD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 mesmo modo o Protocolo de Intenções, instrumento jurídico de instituição e adesão ao Consórcio Público, que hoje é o Contrato de Programa, também prevê a atuação da </w:t>
      </w:r>
      <w:r w:rsidR="007D31E8">
        <w:rPr>
          <w:color w:val="000000"/>
        </w:rPr>
        <w:t>A</w:t>
      </w:r>
      <w:r>
        <w:rPr>
          <w:color w:val="000000"/>
        </w:rPr>
        <w:t xml:space="preserve">gência, como expresso em </w:t>
      </w:r>
      <w:proofErr w:type="gramStart"/>
      <w:r>
        <w:rPr>
          <w:color w:val="000000"/>
        </w:rPr>
        <w:t xml:space="preserve">suas </w:t>
      </w:r>
      <w:r w:rsidR="00BA42D1">
        <w:rPr>
          <w:color w:val="000000"/>
        </w:rPr>
        <w:t>Cláusula</w:t>
      </w:r>
      <w:proofErr w:type="gramEnd"/>
      <w:r w:rsidR="00D855E4">
        <w:rPr>
          <w:color w:val="000000"/>
        </w:rPr>
        <w:t xml:space="preserve"> 7º, inciso II, Cláusula 8º, </w:t>
      </w:r>
      <w:r>
        <w:rPr>
          <w:color w:val="000000"/>
        </w:rPr>
        <w:t>Letra C, letra G, J,</w:t>
      </w:r>
      <w:r w:rsidR="00D855E4">
        <w:rPr>
          <w:color w:val="000000"/>
        </w:rPr>
        <w:t xml:space="preserve"> e incisos II e</w:t>
      </w:r>
      <w:r>
        <w:rPr>
          <w:color w:val="000000"/>
        </w:rPr>
        <w:t xml:space="preserve"> V.</w:t>
      </w:r>
    </w:p>
    <w:p w:rsidR="00A33A0F" w:rsidRDefault="00A33A0F" w:rsidP="0059480F">
      <w:pPr>
        <w:pStyle w:val="texto1"/>
        <w:spacing w:line="360" w:lineRule="auto"/>
        <w:jc w:val="both"/>
        <w:rPr>
          <w:color w:val="000000"/>
        </w:rPr>
      </w:pPr>
      <w:r w:rsidRPr="00A33A0F">
        <w:rPr>
          <w:color w:val="000000"/>
        </w:rPr>
        <w:t xml:space="preserve">O Parecer Administrativo nº 102/2019, como já exposto no relatório, com muito eficácia, demonstrou que </w:t>
      </w:r>
      <w:r>
        <w:rPr>
          <w:color w:val="000000"/>
        </w:rPr>
        <w:t>em vários aspectos, o SAMAE/Brusque não está cumprindo pontos importantes previsto</w:t>
      </w:r>
      <w:r w:rsidR="00184D99">
        <w:rPr>
          <w:color w:val="000000"/>
        </w:rPr>
        <w:t>s no</w:t>
      </w:r>
      <w:r>
        <w:rPr>
          <w:color w:val="000000"/>
        </w:rPr>
        <w:t xml:space="preserve"> Plano Municipal de Saneamento Básico</w:t>
      </w:r>
      <w:r w:rsidR="0059480F">
        <w:rPr>
          <w:color w:val="000000"/>
        </w:rPr>
        <w:t>. O não atendimento daqueles preceitos, em tese, estão prejudicando tanto a universalização dos serviços de abastecimento de água, como o urgente e necessário serviço de esgotamento sanitário.</w:t>
      </w:r>
    </w:p>
    <w:p w:rsidR="0059480F" w:rsidRDefault="0059480F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>É sabido</w:t>
      </w:r>
      <w:r w:rsidR="00D855E4">
        <w:rPr>
          <w:color w:val="000000"/>
        </w:rPr>
        <w:t xml:space="preserve"> também</w:t>
      </w:r>
      <w:r>
        <w:rPr>
          <w:color w:val="000000"/>
        </w:rPr>
        <w:t xml:space="preserve">, por outro lado, que existem alguns gargalos técnicos quanto </w:t>
      </w:r>
      <w:r w:rsidR="007D31E8">
        <w:rPr>
          <w:color w:val="000000"/>
        </w:rPr>
        <w:t>à</w:t>
      </w:r>
      <w:r>
        <w:rPr>
          <w:color w:val="000000"/>
        </w:rPr>
        <w:t xml:space="preserve"> gestão do esgoto sa</w:t>
      </w:r>
      <w:r w:rsidR="005333DD">
        <w:rPr>
          <w:color w:val="000000"/>
        </w:rPr>
        <w:t>nitário, estes, contudo e smj</w:t>
      </w:r>
      <w:proofErr w:type="gramStart"/>
      <w:r w:rsidR="005333DD">
        <w:rPr>
          <w:color w:val="000000"/>
        </w:rPr>
        <w:t>.,</w:t>
      </w:r>
      <w:proofErr w:type="gramEnd"/>
      <w:r w:rsidR="005333DD">
        <w:rPr>
          <w:color w:val="000000"/>
        </w:rPr>
        <w:t xml:space="preserve"> </w:t>
      </w:r>
      <w:r w:rsidR="00D855E4">
        <w:rPr>
          <w:color w:val="000000"/>
        </w:rPr>
        <w:t xml:space="preserve">não impedem </w:t>
      </w:r>
      <w:r>
        <w:rPr>
          <w:color w:val="000000"/>
        </w:rPr>
        <w:t>ações concretas, urgentes, necessárias e obrigatórias</w:t>
      </w:r>
      <w:r w:rsidR="00D855E4">
        <w:rPr>
          <w:color w:val="000000"/>
        </w:rPr>
        <w:t xml:space="preserve"> que</w:t>
      </w:r>
      <w:r>
        <w:rPr>
          <w:color w:val="000000"/>
        </w:rPr>
        <w:t xml:space="preserve"> já deveriam estar em andamento de modo que, o município de Brusque já estive</w:t>
      </w:r>
      <w:r w:rsidR="00D855E4">
        <w:rPr>
          <w:color w:val="000000"/>
        </w:rPr>
        <w:t>sse</w:t>
      </w:r>
      <w:r>
        <w:rPr>
          <w:color w:val="000000"/>
        </w:rPr>
        <w:t xml:space="preserve"> avançando neste eixo do saneamento básico.</w:t>
      </w:r>
    </w:p>
    <w:p w:rsidR="0059480F" w:rsidRDefault="0059480F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>O saldo de R$ 30 milhões disponíveis, mesmo que sob a salvaguarda da necessidade de caixa para a implantação de uma nova estação de tratamento de água, não pode servir como freio ou retardo das ações para o esgotamento sanitário.</w:t>
      </w:r>
    </w:p>
    <w:p w:rsidR="005333DD" w:rsidRDefault="005333DD" w:rsidP="005333DD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Como mencionado no Parecer Administrativo: </w:t>
      </w:r>
      <w:r w:rsidRPr="00A14221">
        <w:rPr>
          <w:b/>
          <w:i/>
          <w:color w:val="000000"/>
        </w:rPr>
        <w:t>“...o valor é ínfimo, frente aos desafios de universalização e regularidade no fornecimento de água tratada e esgotamento sanitário...”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e conclui afirmando que:</w:t>
      </w:r>
    </w:p>
    <w:p w:rsidR="005333DD" w:rsidRDefault="005333DD" w:rsidP="005333DD">
      <w:pPr>
        <w:spacing w:after="0" w:line="360" w:lineRule="auto"/>
        <w:ind w:left="15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A14221">
        <w:rPr>
          <w:i/>
          <w:sz w:val="20"/>
          <w:szCs w:val="20"/>
        </w:rPr>
        <w:t>A situação financeira da entidade com valores tímidos para investimentos em se comparando com os planos (necessidades) de 8,16%, como demonstrado acima, considerando que os investimentos deverão ser dessa forma priorizados considerando o superávit apresentado conforme explanado no Quadro 15, o PPA e o PMSB do município</w:t>
      </w:r>
      <w:r>
        <w:rPr>
          <w:i/>
          <w:sz w:val="20"/>
          <w:szCs w:val="20"/>
        </w:rPr>
        <w:t>”</w:t>
      </w:r>
      <w:r w:rsidRPr="00A14221">
        <w:rPr>
          <w:i/>
          <w:sz w:val="20"/>
          <w:szCs w:val="20"/>
        </w:rPr>
        <w:t>.</w:t>
      </w:r>
    </w:p>
    <w:p w:rsidR="0059480F" w:rsidRDefault="0059480F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Ainda mais que é sabido por todos, de que existe na área central do município, uma rede de esgoto sanitário implantada, e que jamais foi colocado em funcionamento e não se sabe até a presente data, qual seu estado de conservação e ou de utilização. </w:t>
      </w:r>
      <w:r w:rsidR="00D90A3D">
        <w:rPr>
          <w:color w:val="000000"/>
        </w:rPr>
        <w:t>As poucas informações que se tem conhecimento, passam ao longe de argumentos técnicos e ou econômicos e por isso de pouca valia para a necessária e indispensável tomada de decisão.</w:t>
      </w:r>
    </w:p>
    <w:p w:rsidR="00D90A3D" w:rsidRDefault="00D90A3D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>Também é do conhecimento desta Agência Reguladora de que um projeto executivo já foi contratado pela administração municipal e que este já está pronto e já foi entregue para a administração. Apesar de algumas solicitações, até a presente tal projeto não foi encaminhado para análise e conhecimento da AGIR, fato que causa estranheza diante da urgente necessidade da implantação dos serviços. També</w:t>
      </w:r>
      <w:r w:rsidR="007D31E8">
        <w:rPr>
          <w:color w:val="000000"/>
        </w:rPr>
        <w:t>m chegou ao conhecimento desta A</w:t>
      </w:r>
      <w:r>
        <w:rPr>
          <w:color w:val="000000"/>
        </w:rPr>
        <w:t>gência, que tal projeto foi elaborado, excluindo-se a rede já implantada, para a execução de mais de 100 km de rede, bem como todas as elevatórias necessárias e também a Estação de Tratamento</w:t>
      </w:r>
      <w:r w:rsidR="00D855E4">
        <w:rPr>
          <w:color w:val="000000"/>
        </w:rPr>
        <w:t xml:space="preserve"> de Esgoto (ETE). </w:t>
      </w:r>
      <w:r w:rsidR="0057249E">
        <w:rPr>
          <w:color w:val="000000"/>
        </w:rPr>
        <w:t>Tod</w:t>
      </w:r>
      <w:r w:rsidR="00D855E4">
        <w:rPr>
          <w:color w:val="000000"/>
        </w:rPr>
        <w:t>a essa situação, mesmo que não</w:t>
      </w:r>
      <w:r w:rsidR="0057249E">
        <w:rPr>
          <w:color w:val="000000"/>
        </w:rPr>
        <w:t xml:space="preserve"> seja exatamente nestes termos, causa certo desconforto e que leva obrigatoriamente à Agência Regulad</w:t>
      </w:r>
      <w:r w:rsidR="008809C6">
        <w:rPr>
          <w:color w:val="000000"/>
        </w:rPr>
        <w:t xml:space="preserve">ora </w:t>
      </w:r>
      <w:r w:rsidR="007D31E8">
        <w:rPr>
          <w:color w:val="000000"/>
        </w:rPr>
        <w:t>a</w:t>
      </w:r>
      <w:r w:rsidR="008809C6">
        <w:rPr>
          <w:color w:val="000000"/>
        </w:rPr>
        <w:t xml:space="preserve"> posicionar-se, como já dit</w:t>
      </w:r>
      <w:r w:rsidR="0057249E">
        <w:rPr>
          <w:color w:val="000000"/>
        </w:rPr>
        <w:t xml:space="preserve">o, como </w:t>
      </w:r>
      <w:r w:rsidR="008809C6">
        <w:rPr>
          <w:color w:val="000000"/>
        </w:rPr>
        <w:t xml:space="preserve">o </w:t>
      </w:r>
      <w:r w:rsidR="0057249E">
        <w:rPr>
          <w:color w:val="000000"/>
        </w:rPr>
        <w:t>ente que deve manifestar-se sobre o cumprimento do PMSB.</w:t>
      </w:r>
    </w:p>
    <w:p w:rsidR="00184D99" w:rsidRDefault="0057249E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Por outro lado, não ficam as observações restritas tão somente ao não cumprimento da implantação da rede de esgotamento sanitário. </w:t>
      </w:r>
      <w:r w:rsidR="00184D99">
        <w:rPr>
          <w:color w:val="000000"/>
        </w:rPr>
        <w:t xml:space="preserve">A substituição da antiga rede de água de amianto, é outra obra urgente e necessária. </w:t>
      </w:r>
    </w:p>
    <w:p w:rsidR="0057249E" w:rsidRDefault="0057249E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>Em vários momentos a Agência já se tem manifestado quanto à vários pontos do sistema de abastecimento de água, uma vez que tem sido recorrente a descontinuidade no fornecimento deste indispensável elemento de vida dos cidadãos. O exemplo mais recente foi quando</w:t>
      </w:r>
      <w:r w:rsidR="00184D99">
        <w:rPr>
          <w:color w:val="000000"/>
        </w:rPr>
        <w:t xml:space="preserve"> do pedido da AGIR,</w:t>
      </w:r>
      <w:r w:rsidR="00A14221">
        <w:rPr>
          <w:color w:val="000000"/>
        </w:rPr>
        <w:t xml:space="preserve"> quanto</w:t>
      </w:r>
      <w:r>
        <w:rPr>
          <w:color w:val="000000"/>
        </w:rPr>
        <w:t xml:space="preserve"> ao fornecimento de água nesta temporada de verão e quais seriam as providências (contingência e situações emergências) em caso de falta desta. Como resposta foi dito que várias ações foram efetuadas e não iria faltar água. Contudo, surpresa se apresenta, com a edição do Decreto</w:t>
      </w:r>
      <w:r w:rsidR="005333DD">
        <w:rPr>
          <w:color w:val="000000"/>
        </w:rPr>
        <w:t xml:space="preserve"> nº 8.296, de 15.01.2019, e o Decreto nº 8.297, de 15.01.2019,</w:t>
      </w:r>
      <w:r>
        <w:rPr>
          <w:color w:val="000000"/>
        </w:rPr>
        <w:t xml:space="preserve"> no</w:t>
      </w:r>
      <w:r w:rsidR="005333DD">
        <w:rPr>
          <w:color w:val="000000"/>
        </w:rPr>
        <w:t>s</w:t>
      </w:r>
      <w:r w:rsidR="008809C6">
        <w:rPr>
          <w:color w:val="000000"/>
        </w:rPr>
        <w:t xml:space="preserve"> quais</w:t>
      </w:r>
      <w:r>
        <w:rPr>
          <w:color w:val="000000"/>
        </w:rPr>
        <w:t xml:space="preserve"> a administração municipal, at</w:t>
      </w:r>
      <w:r w:rsidR="005333DD">
        <w:rPr>
          <w:color w:val="000000"/>
        </w:rPr>
        <w:t>ravés do Executivo, declara S</w:t>
      </w:r>
      <w:r>
        <w:rPr>
          <w:color w:val="000000"/>
        </w:rPr>
        <w:t xml:space="preserve">ituação </w:t>
      </w:r>
      <w:r w:rsidR="005333DD">
        <w:rPr>
          <w:color w:val="000000"/>
        </w:rPr>
        <w:t>de Alerta, institui o racionamento d</w:t>
      </w:r>
      <w:r>
        <w:rPr>
          <w:color w:val="000000"/>
        </w:rPr>
        <w:t xml:space="preserve">e água e até propõe a aplicação de multa àqueles usuários que venham a infringir o dito decreto. </w:t>
      </w:r>
      <w:r w:rsidR="005333DD">
        <w:rPr>
          <w:color w:val="000000"/>
        </w:rPr>
        <w:t>Diga-se</w:t>
      </w:r>
      <w:r w:rsidR="00D63670">
        <w:rPr>
          <w:color w:val="000000"/>
        </w:rPr>
        <w:t>,</w:t>
      </w:r>
      <w:r w:rsidR="005333DD">
        <w:rPr>
          <w:color w:val="000000"/>
        </w:rPr>
        <w:t xml:space="preserve"> por oportuno</w:t>
      </w:r>
      <w:r w:rsidR="00D63670">
        <w:rPr>
          <w:color w:val="000000"/>
        </w:rPr>
        <w:t>,</w:t>
      </w:r>
      <w:r w:rsidR="005333DD">
        <w:rPr>
          <w:color w:val="000000"/>
        </w:rPr>
        <w:t xml:space="preserve"> que tais medidas foram adotadas de forma a contrariar a política nacional, ao deixar de comunicar e e</w:t>
      </w:r>
      <w:r w:rsidR="00043D7E">
        <w:rPr>
          <w:color w:val="000000"/>
        </w:rPr>
        <w:t>sclarecer a situação perante a A</w:t>
      </w:r>
      <w:r w:rsidR="005333DD">
        <w:rPr>
          <w:color w:val="000000"/>
        </w:rPr>
        <w:t>gên</w:t>
      </w:r>
      <w:r w:rsidR="00043D7E">
        <w:rPr>
          <w:color w:val="000000"/>
        </w:rPr>
        <w:t>cia R</w:t>
      </w:r>
      <w:r w:rsidR="005333DD">
        <w:rPr>
          <w:color w:val="000000"/>
        </w:rPr>
        <w:t>eguladora.</w:t>
      </w:r>
    </w:p>
    <w:p w:rsidR="00D63670" w:rsidRDefault="00D63670" w:rsidP="0059480F">
      <w:pPr>
        <w:pStyle w:val="texto1"/>
        <w:spacing w:line="360" w:lineRule="auto"/>
        <w:jc w:val="both"/>
        <w:rPr>
          <w:color w:val="000000"/>
        </w:rPr>
      </w:pPr>
      <w:r>
        <w:rPr>
          <w:color w:val="000000"/>
        </w:rPr>
        <w:t>Em razão destas várias situações, foram abertos os Termos de Ajustamento de Conduta nº 001</w:t>
      </w:r>
      <w:r w:rsidR="008809C6">
        <w:rPr>
          <w:color w:val="000000"/>
        </w:rPr>
        <w:t xml:space="preserve"> e</w:t>
      </w:r>
      <w:r>
        <w:rPr>
          <w:color w:val="000000"/>
        </w:rPr>
        <w:t xml:space="preserve"> 002/2018, </w:t>
      </w:r>
      <w:r w:rsidR="008809C6">
        <w:rPr>
          <w:color w:val="000000"/>
        </w:rPr>
        <w:t xml:space="preserve">atualmente </w:t>
      </w:r>
      <w:r>
        <w:rPr>
          <w:color w:val="000000"/>
        </w:rPr>
        <w:t>em cumprimento parcial e objeto de novas recomendações, sem deixar de mencionar os relatórios das fiscalizações programadas</w:t>
      </w:r>
      <w:r w:rsidR="008809C6">
        <w:rPr>
          <w:color w:val="000000"/>
        </w:rPr>
        <w:t>,</w:t>
      </w:r>
      <w:r>
        <w:rPr>
          <w:color w:val="000000"/>
        </w:rPr>
        <w:t xml:space="preserve"> que indicam todas as situações fora de padrão e que necessariamente devem </w:t>
      </w:r>
      <w:r w:rsidR="008809C6">
        <w:rPr>
          <w:color w:val="000000"/>
        </w:rPr>
        <w:t xml:space="preserve">ou deveriam </w:t>
      </w:r>
      <w:r>
        <w:rPr>
          <w:color w:val="000000"/>
        </w:rPr>
        <w:t>ser corrigidas.</w:t>
      </w:r>
    </w:p>
    <w:p w:rsidR="008574EB" w:rsidRDefault="008574EB" w:rsidP="008574EB">
      <w:pPr>
        <w:spacing w:after="0" w:line="360" w:lineRule="auto"/>
        <w:jc w:val="both"/>
      </w:pPr>
      <w:r>
        <w:t>De outra banda, também não seria crível deixar de mencionar</w:t>
      </w:r>
      <w:r w:rsidR="005333DD">
        <w:t xml:space="preserve"> de</w:t>
      </w:r>
      <w:r>
        <w:t xml:space="preserve"> que em algumas áreas técnicas, o SAMAE/Brusque tem apresentado boas evoluções e que até são objeto de menção, como no caso dos resultados sobre a implantação do sistema de telemetria, con</w:t>
      </w:r>
      <w:r w:rsidR="005333DD">
        <w:t>trole de frota e</w:t>
      </w:r>
      <w:r>
        <w:t xml:space="preserve"> redução de perdas. Também não se deve deixar de observar que em dezembro/2018 foi lançada uma proposta de PMI, que até a presente data não foi reportada para a Ag</w:t>
      </w:r>
      <w:r w:rsidR="00184D99">
        <w:t>ência, tomando-se conhecimento</w:t>
      </w:r>
      <w:r w:rsidR="008809C6">
        <w:t xml:space="preserve"> desta</w:t>
      </w:r>
      <w:r w:rsidR="00184D99">
        <w:t xml:space="preserve"> tão somente através de terceiros.</w:t>
      </w:r>
    </w:p>
    <w:p w:rsidR="005333DD" w:rsidRDefault="005333DD" w:rsidP="008574EB">
      <w:pPr>
        <w:spacing w:after="0" w:line="360" w:lineRule="auto"/>
        <w:jc w:val="both"/>
      </w:pPr>
    </w:p>
    <w:p w:rsidR="005333DD" w:rsidRDefault="005333DD" w:rsidP="008574EB">
      <w:pPr>
        <w:spacing w:after="0" w:line="360" w:lineRule="auto"/>
        <w:jc w:val="both"/>
      </w:pPr>
      <w:r>
        <w:t>Esses os necessários comentários e fundamentos</w:t>
      </w:r>
      <w:r w:rsidR="00043D7E">
        <w:t xml:space="preserve"> que devem integrar a presente D</w:t>
      </w:r>
      <w:r>
        <w:t>ecisão, uma vez que o reajuste</w:t>
      </w:r>
      <w:r w:rsidR="00D63670">
        <w:t xml:space="preserve"> por si só não prescindiria de tamanho esforço, por tratar-se tão somente da aplicação de um determinado índice econômico fixado pelo Governo Central.  Mas não seria justificável, como </w:t>
      </w:r>
      <w:r w:rsidR="00043D7E">
        <w:t>Agência R</w:t>
      </w:r>
      <w:r w:rsidR="00D63670">
        <w:t xml:space="preserve">eguladora, omitir situações que restaram configuradas e que exigem a intervenção necessária e legal da </w:t>
      </w:r>
      <w:r w:rsidR="00043D7E">
        <w:t>A</w:t>
      </w:r>
      <w:r w:rsidR="00D63670">
        <w:t>gência, no cumprimento de suas obrigações.</w:t>
      </w:r>
    </w:p>
    <w:p w:rsidR="00D63670" w:rsidRDefault="00D63670" w:rsidP="008574EB">
      <w:pPr>
        <w:spacing w:after="0" w:line="360" w:lineRule="auto"/>
        <w:jc w:val="both"/>
      </w:pPr>
    </w:p>
    <w:p w:rsidR="00D63670" w:rsidRDefault="00D63670" w:rsidP="008574EB">
      <w:pPr>
        <w:spacing w:after="0" w:line="360" w:lineRule="auto"/>
        <w:jc w:val="both"/>
        <w:rPr>
          <w:b/>
        </w:rPr>
      </w:pPr>
      <w:r>
        <w:t xml:space="preserve">Por tudo isso </w:t>
      </w:r>
      <w:r w:rsidRPr="00E27AD3">
        <w:rPr>
          <w:b/>
        </w:rPr>
        <w:t>DECIDE-SE:</w:t>
      </w:r>
    </w:p>
    <w:p w:rsidR="00E27AD3" w:rsidRDefault="00E27AD3" w:rsidP="008574EB">
      <w:pPr>
        <w:spacing w:after="0" w:line="360" w:lineRule="auto"/>
        <w:jc w:val="both"/>
      </w:pPr>
    </w:p>
    <w:p w:rsidR="00C15769" w:rsidRDefault="00C15769" w:rsidP="00E27AD3">
      <w:pPr>
        <w:spacing w:after="0" w:line="360" w:lineRule="auto"/>
        <w:jc w:val="both"/>
      </w:pPr>
      <w:r>
        <w:t xml:space="preserve">Assim, por dever de oficio fica determinado o período de 12 (doze) meses, </w:t>
      </w:r>
      <w:r w:rsidR="00043D7E">
        <w:t>a</w:t>
      </w:r>
      <w:r>
        <w:t xml:space="preserve"> partir do </w:t>
      </w:r>
      <w:r w:rsidRPr="00AA18B7">
        <w:rPr>
          <w:b/>
          <w:u w:val="single"/>
        </w:rPr>
        <w:t>mês de março/201</w:t>
      </w:r>
      <w:r>
        <w:rPr>
          <w:b/>
          <w:u w:val="single"/>
        </w:rPr>
        <w:t>8</w:t>
      </w:r>
      <w:r w:rsidRPr="00AA18B7">
        <w:rPr>
          <w:b/>
          <w:u w:val="single"/>
        </w:rPr>
        <w:t xml:space="preserve"> até o mês de fevereiro/201</w:t>
      </w:r>
      <w:bookmarkStart w:id="1" w:name="_GoBack"/>
      <w:bookmarkEnd w:id="1"/>
      <w:r>
        <w:rPr>
          <w:b/>
          <w:u w:val="single"/>
        </w:rPr>
        <w:t>9</w:t>
      </w:r>
      <w:r w:rsidR="008809C6">
        <w:t xml:space="preserve"> para a aplicação do reajuste</w:t>
      </w:r>
      <w:r>
        <w:t>,</w:t>
      </w:r>
      <w:r w:rsidR="008809C6">
        <w:t xml:space="preserve"> que </w:t>
      </w:r>
      <w:r w:rsidR="008809C6" w:rsidRPr="008809C6">
        <w:rPr>
          <w:b/>
          <w:u w:val="single"/>
        </w:rPr>
        <w:t>DEFIRO</w:t>
      </w:r>
      <w:r w:rsidR="008809C6">
        <w:rPr>
          <w:b/>
          <w:u w:val="single"/>
        </w:rPr>
        <w:t>,</w:t>
      </w:r>
      <w:r>
        <w:t xml:space="preserve"> observado o </w:t>
      </w:r>
      <w:r w:rsidRPr="00184600">
        <w:t>índice</w:t>
      </w:r>
      <w:r>
        <w:t xml:space="preserve"> acumulado </w:t>
      </w:r>
      <w:r w:rsidRPr="00184600">
        <w:t xml:space="preserve">de </w:t>
      </w:r>
      <w:r w:rsidRPr="003F45AB">
        <w:rPr>
          <w:b/>
        </w:rPr>
        <w:t>3,94%</w:t>
      </w:r>
      <w:r>
        <w:t xml:space="preserve"> </w:t>
      </w:r>
      <w:r w:rsidRPr="00662C5A">
        <w:t>(</w:t>
      </w:r>
      <w:r>
        <w:t xml:space="preserve">três </w:t>
      </w:r>
      <w:r w:rsidRPr="00662C5A">
        <w:t xml:space="preserve">vírgula </w:t>
      </w:r>
      <w:r>
        <w:t xml:space="preserve">noventa e quatro </w:t>
      </w:r>
      <w:r w:rsidRPr="00662C5A">
        <w:t>por cento)</w:t>
      </w:r>
      <w:r>
        <w:t>, conforme quadro abaixo:</w:t>
      </w:r>
    </w:p>
    <w:p w:rsidR="00E27AD3" w:rsidRDefault="00E27AD3" w:rsidP="00C15769">
      <w:pPr>
        <w:spacing w:after="0" w:line="360" w:lineRule="auto"/>
        <w:ind w:firstLine="851"/>
        <w:jc w:val="both"/>
      </w:pPr>
    </w:p>
    <w:p w:rsidR="00C15769" w:rsidRPr="00043D7E" w:rsidRDefault="002145A5" w:rsidP="00C15769">
      <w:pPr>
        <w:spacing w:after="0" w:line="240" w:lineRule="auto"/>
        <w:rPr>
          <w:sz w:val="20"/>
          <w:szCs w:val="20"/>
        </w:rPr>
      </w:pPr>
      <w:r w:rsidRPr="002145A5">
        <w:rPr>
          <w:b/>
          <w:sz w:val="20"/>
          <w:szCs w:val="20"/>
        </w:rPr>
        <w:t>Quadro 1</w:t>
      </w:r>
      <w:r w:rsidR="00C15769" w:rsidRPr="002145A5">
        <w:rPr>
          <w:b/>
          <w:sz w:val="20"/>
          <w:szCs w:val="20"/>
        </w:rPr>
        <w:t xml:space="preserve"> – Evolução do INPC março/2018 a fevereiro/2019.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805"/>
        <w:gridCol w:w="3387"/>
        <w:gridCol w:w="2848"/>
      </w:tblGrid>
      <w:tr w:rsidR="00C15769" w:rsidRPr="00EC4169" w:rsidTr="009648AF">
        <w:trPr>
          <w:trHeight w:val="624"/>
        </w:trPr>
        <w:tc>
          <w:tcPr>
            <w:tcW w:w="9270" w:type="dxa"/>
            <w:gridSpan w:val="4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  <w:vAlign w:val="center"/>
          </w:tcPr>
          <w:p w:rsidR="00C15769" w:rsidRPr="00DF4811" w:rsidRDefault="00C15769" w:rsidP="009648A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7"/>
                <w:szCs w:val="27"/>
              </w:rPr>
            </w:pPr>
            <w:r w:rsidRPr="00DF4811">
              <w:rPr>
                <w:b/>
                <w:bCs/>
                <w:color w:val="FFFFFF" w:themeColor="background1"/>
                <w:sz w:val="27"/>
                <w:szCs w:val="27"/>
              </w:rPr>
              <w:t>ÍNDICE NACIONAL DE PREÇOS AO CONSUMIDOR – INPC</w:t>
            </w:r>
          </w:p>
        </w:tc>
      </w:tr>
      <w:tr w:rsidR="00C15769" w:rsidRPr="00EC4169" w:rsidTr="009648AF">
        <w:trPr>
          <w:trHeight w:val="397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Mês/ano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84F01">
              <w:rPr>
                <w:b/>
                <w:bCs/>
                <w:color w:val="FFFFFF" w:themeColor="background1"/>
                <w:szCs w:val="20"/>
              </w:rPr>
              <w:t>Índice do mês (em %)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84F01">
              <w:rPr>
                <w:b/>
                <w:bCs/>
                <w:color w:val="FFFFFF" w:themeColor="background1"/>
                <w:szCs w:val="20"/>
              </w:rPr>
              <w:t>Índice</w:t>
            </w:r>
          </w:p>
        </w:tc>
        <w:tc>
          <w:tcPr>
            <w:tcW w:w="2848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84F01">
              <w:rPr>
                <w:b/>
                <w:bCs/>
                <w:color w:val="FFFFFF" w:themeColor="background1"/>
                <w:szCs w:val="20"/>
              </w:rPr>
              <w:t>Percentual</w:t>
            </w:r>
          </w:p>
        </w:tc>
      </w:tr>
      <w:tr w:rsidR="00C15769" w:rsidRPr="00EC4169" w:rsidTr="009648AF">
        <w:trPr>
          <w:trHeight w:val="2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mar/1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1,0007</w:t>
            </w:r>
          </w:p>
        </w:tc>
        <w:tc>
          <w:tcPr>
            <w:tcW w:w="2848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C15769" w:rsidRPr="00EC4169" w:rsidTr="009648AF">
        <w:trPr>
          <w:trHeight w:val="2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abr/1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1,0028015</w:t>
            </w:r>
          </w:p>
        </w:tc>
        <w:tc>
          <w:tcPr>
            <w:tcW w:w="2848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0,2801</w:t>
            </w:r>
          </w:p>
        </w:tc>
      </w:tr>
      <w:tr w:rsidR="00C15769" w:rsidRPr="00EC4169" w:rsidTr="009648AF">
        <w:trPr>
          <w:trHeight w:val="2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maio/1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1,0071135</w:t>
            </w:r>
          </w:p>
        </w:tc>
        <w:tc>
          <w:tcPr>
            <w:tcW w:w="2848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0,7114</w:t>
            </w:r>
          </w:p>
        </w:tc>
      </w:tr>
      <w:tr w:rsidR="00C15769" w:rsidRPr="00EC4169" w:rsidTr="009648AF">
        <w:trPr>
          <w:trHeight w:val="2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jun/1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1,0215152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2,1515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jul/1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1,0240690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2,4069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ago/1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1,0240690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2,4069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set/1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1,0271412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2,7141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out/1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1,0312498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3,1250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nov/1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-0,25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1,0286717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2,8672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dez/1</w:t>
            </w:r>
            <w:r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1,0301118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3,0112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jan/1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1,0338202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3,3820</w:t>
            </w:r>
          </w:p>
        </w:tc>
      </w:tr>
      <w:tr w:rsidR="00C15769" w:rsidRPr="00EC4169" w:rsidTr="009648AF">
        <w:trPr>
          <w:trHeight w:val="57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884F01">
              <w:rPr>
                <w:b/>
                <w:bCs/>
                <w:color w:val="FFFFFF" w:themeColor="background1"/>
              </w:rPr>
              <w:t>fev/1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C15769" w:rsidRPr="00884F01" w:rsidRDefault="00C15769" w:rsidP="009648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1,0394028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C15769" w:rsidRPr="00884F01" w:rsidRDefault="00C15769" w:rsidP="009648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3,9403</w:t>
            </w:r>
          </w:p>
        </w:tc>
      </w:tr>
    </w:tbl>
    <w:p w:rsidR="00C15769" w:rsidRPr="00A2645F" w:rsidRDefault="00C15769" w:rsidP="00043D7E">
      <w:pPr>
        <w:spacing w:after="0" w:line="240" w:lineRule="auto"/>
        <w:jc w:val="both"/>
        <w:rPr>
          <w:sz w:val="20"/>
          <w:szCs w:val="20"/>
        </w:rPr>
      </w:pPr>
      <w:r w:rsidRPr="00A2645F">
        <w:rPr>
          <w:bCs/>
          <w:sz w:val="20"/>
          <w:szCs w:val="20"/>
          <w:shd w:val="clear" w:color="auto" w:fill="FFFFFF"/>
        </w:rPr>
        <w:t>Fonte:</w:t>
      </w:r>
      <w:r w:rsidRPr="00A2645F">
        <w:rPr>
          <w:rStyle w:val="apple-converted-space"/>
          <w:bCs/>
          <w:sz w:val="20"/>
          <w:szCs w:val="20"/>
          <w:shd w:val="clear" w:color="auto" w:fill="FFFFFF"/>
        </w:rPr>
        <w:t xml:space="preserve"> Adaptado da </w:t>
      </w:r>
      <w:r w:rsidRPr="00A2645F">
        <w:rPr>
          <w:bCs/>
          <w:sz w:val="20"/>
          <w:szCs w:val="20"/>
          <w:shd w:val="clear" w:color="auto" w:fill="FFFFFF"/>
        </w:rPr>
        <w:t xml:space="preserve">Base de dados do IBGE, </w:t>
      </w:r>
      <w:r w:rsidRPr="00A2645F">
        <w:rPr>
          <w:sz w:val="20"/>
          <w:szCs w:val="20"/>
        </w:rPr>
        <w:t>Diretoria de Pesquisas, Coordenação de Índices de Preços, Sistema Nacional de Índices de Preços ao Consumidor.</w:t>
      </w:r>
      <w:r>
        <w:rPr>
          <w:sz w:val="20"/>
          <w:szCs w:val="20"/>
        </w:rPr>
        <w:t xml:space="preserve"> A</w:t>
      </w:r>
      <w:r w:rsidRPr="00A2645F">
        <w:rPr>
          <w:bCs/>
          <w:sz w:val="20"/>
          <w:szCs w:val="20"/>
          <w:shd w:val="clear" w:color="auto" w:fill="FFFFFF"/>
        </w:rPr>
        <w:t xml:space="preserve">cesso em: </w:t>
      </w:r>
      <w:r>
        <w:rPr>
          <w:bCs/>
          <w:sz w:val="20"/>
          <w:szCs w:val="20"/>
          <w:shd w:val="clear" w:color="auto" w:fill="FFFFFF"/>
        </w:rPr>
        <w:t>13</w:t>
      </w:r>
      <w:r w:rsidRPr="00A2645F"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</w:rPr>
        <w:t>mar</w:t>
      </w:r>
      <w:r w:rsidRPr="00A2645F">
        <w:rPr>
          <w:bCs/>
          <w:sz w:val="20"/>
          <w:szCs w:val="20"/>
          <w:shd w:val="clear" w:color="auto" w:fill="FFFFFF"/>
        </w:rPr>
        <w:t>. 201</w:t>
      </w:r>
      <w:r>
        <w:rPr>
          <w:bCs/>
          <w:sz w:val="20"/>
          <w:szCs w:val="20"/>
          <w:shd w:val="clear" w:color="auto" w:fill="FFFFFF"/>
        </w:rPr>
        <w:t>9</w:t>
      </w:r>
      <w:r w:rsidRPr="00A2645F">
        <w:rPr>
          <w:bCs/>
          <w:sz w:val="20"/>
          <w:szCs w:val="20"/>
          <w:shd w:val="clear" w:color="auto" w:fill="FFFFFF"/>
        </w:rPr>
        <w:t>.</w:t>
      </w:r>
    </w:p>
    <w:p w:rsidR="00C15769" w:rsidRDefault="00C15769" w:rsidP="00C15769">
      <w:pPr>
        <w:spacing w:after="0" w:line="360" w:lineRule="auto"/>
        <w:ind w:firstLine="851"/>
        <w:jc w:val="both"/>
      </w:pPr>
    </w:p>
    <w:p w:rsidR="00C15769" w:rsidRDefault="008809C6" w:rsidP="008809C6">
      <w:pPr>
        <w:spacing w:after="0" w:line="360" w:lineRule="auto"/>
        <w:jc w:val="both"/>
        <w:rPr>
          <w:b/>
          <w:bCs/>
          <w:shd w:val="clear" w:color="auto" w:fill="FFFFFF"/>
        </w:rPr>
      </w:pPr>
      <w:r w:rsidRPr="008809C6">
        <w:rPr>
          <w:b/>
          <w:bCs/>
          <w:u w:val="single"/>
          <w:shd w:val="clear" w:color="auto" w:fill="FFFFFF"/>
        </w:rPr>
        <w:t>O reajuste acima autorizado</w:t>
      </w:r>
      <w:proofErr w:type="gramStart"/>
      <w:r w:rsidRPr="008809C6">
        <w:rPr>
          <w:b/>
          <w:bCs/>
          <w:u w:val="single"/>
          <w:shd w:val="clear" w:color="auto" w:fill="FFFFFF"/>
        </w:rPr>
        <w:t>, fica</w:t>
      </w:r>
      <w:proofErr w:type="gramEnd"/>
      <w:r w:rsidRPr="008809C6">
        <w:rPr>
          <w:b/>
          <w:bCs/>
          <w:u w:val="single"/>
          <w:shd w:val="clear" w:color="auto" w:fill="FFFFFF"/>
        </w:rPr>
        <w:t xml:space="preserve"> condicionado as seguintes medidas que deverão estar disponíveis quando do próximo pedido anual de reajuste ou de eventual revisão tarifária e que, em não sendo atendidas, serão objeto de redução, tanto no reajuste como em revisão</w:t>
      </w:r>
      <w:r w:rsidR="00043D7E">
        <w:rPr>
          <w:b/>
          <w:bCs/>
          <w:u w:val="single"/>
          <w:shd w:val="clear" w:color="auto" w:fill="FFFFFF"/>
        </w:rPr>
        <w:t>.</w:t>
      </w:r>
    </w:p>
    <w:p w:rsidR="00C15769" w:rsidRPr="005E27ED" w:rsidRDefault="00C15769" w:rsidP="00C15769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5E27ED">
        <w:t xml:space="preserve">Que o SAMAE de Brusque apresente um cronograma de trabalho para o exercício 2019 sobre os investimentos devidamente precificados, </w:t>
      </w:r>
      <w:proofErr w:type="gramStart"/>
      <w:r w:rsidRPr="005E27ED">
        <w:t>além disso</w:t>
      </w:r>
      <w:proofErr w:type="gramEnd"/>
      <w:r w:rsidRPr="005E27ED">
        <w:t xml:space="preserve"> que a sobra de caixa seja levada a termo em ações a serem desenvolvidas em conformidade com os recursos e planos disponíveis; </w:t>
      </w:r>
    </w:p>
    <w:p w:rsidR="00C15769" w:rsidRPr="00554EAA" w:rsidRDefault="00C15769" w:rsidP="00C15769">
      <w:pPr>
        <w:spacing w:after="0" w:line="336" w:lineRule="auto"/>
        <w:ind w:left="360"/>
        <w:jc w:val="both"/>
      </w:pPr>
    </w:p>
    <w:p w:rsidR="00C15769" w:rsidRDefault="00C15769" w:rsidP="00C15769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80189B">
        <w:t xml:space="preserve">Que o SAMAE de </w:t>
      </w:r>
      <w:r>
        <w:t>Brusque</w:t>
      </w:r>
      <w:r w:rsidRPr="0080189B">
        <w:t xml:space="preserve">, obedeça rigorosamente aos investimentos elencados </w:t>
      </w:r>
      <w:r>
        <w:t>em seu</w:t>
      </w:r>
      <w:r w:rsidRPr="0080189B">
        <w:t xml:space="preserve"> Plano Municipal de Saneamento Básico (PMSB),</w:t>
      </w:r>
      <w:r>
        <w:t xml:space="preserve"> </w:t>
      </w:r>
      <w:r w:rsidR="00E27AD3">
        <w:t xml:space="preserve">se </w:t>
      </w:r>
      <w:r>
        <w:t>revisado</w:t>
      </w:r>
      <w:r w:rsidR="00E27AD3">
        <w:t xml:space="preserve"> o foi</w:t>
      </w:r>
      <w:r>
        <w:t>,</w:t>
      </w:r>
      <w:r w:rsidRPr="0080189B">
        <w:t xml:space="preserve"> com evidências de seu fiel cumprimento para proporcionar um próximo reajuste/revisão eficiente, e colaborem para a manutenção, sustentabilid</w:t>
      </w:r>
      <w:r>
        <w:t>ade e regularidade dos serviços ou, em sendo necessário, promover a alteração de alguma meta do PMSB, mediante justificativa a ser analisada pela Agência;</w:t>
      </w:r>
    </w:p>
    <w:p w:rsidR="00C15769" w:rsidRDefault="00C15769" w:rsidP="00C15769">
      <w:pPr>
        <w:pStyle w:val="PargrafodaLista"/>
      </w:pPr>
    </w:p>
    <w:p w:rsidR="00C15769" w:rsidRDefault="00C15769" w:rsidP="00C15769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</w:pPr>
      <w:r w:rsidRPr="009A0953">
        <w:t xml:space="preserve">A cada </w:t>
      </w:r>
      <w:r>
        <w:t>semestre</w:t>
      </w:r>
      <w:r w:rsidRPr="009A0953">
        <w:t xml:space="preserve"> após a aplicação do reajuste em tela, deverá o SAMAE de </w:t>
      </w:r>
      <w:r>
        <w:t>Brusque</w:t>
      </w:r>
      <w:r w:rsidRPr="009A0953">
        <w:t xml:space="preserve"> remeter para a AGIR, documentação que permita a aferição dos cronogramas e seus investimentos conforme evidenciado no ite</w:t>
      </w:r>
      <w:r>
        <w:t>m</w:t>
      </w:r>
      <w:r w:rsidRPr="009A0953">
        <w:t xml:space="preserve"> anterior, bem como documentos comprobatórios (empenhos, homologações, notas fiscais etc.) e, ainda relato dos demais ite</w:t>
      </w:r>
      <w:r>
        <w:t>ns condicionados nesta Decisão;</w:t>
      </w:r>
    </w:p>
    <w:p w:rsidR="00C15769" w:rsidRDefault="00C15769" w:rsidP="00C15769">
      <w:pPr>
        <w:pStyle w:val="PargrafodaLista"/>
      </w:pPr>
    </w:p>
    <w:p w:rsidR="00C15769" w:rsidRDefault="00C15769" w:rsidP="00C15769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</w:pPr>
      <w:r>
        <w:t>Que o Município de Brusque encaminhe no prazo de 30 (trinta) dias, cópia integral da PMI</w:t>
      </w:r>
      <w:r w:rsidR="0038795D">
        <w:t xml:space="preserve"> e todos </w:t>
      </w:r>
      <w:r w:rsidR="00A75759">
        <w:t>os</w:t>
      </w:r>
      <w:r w:rsidR="0038795D">
        <w:t xml:space="preserve"> seus anexos</w:t>
      </w:r>
      <w:r>
        <w:t>;</w:t>
      </w:r>
    </w:p>
    <w:p w:rsidR="00C15769" w:rsidRDefault="00C15769" w:rsidP="00C15769">
      <w:pPr>
        <w:pStyle w:val="PargrafodaLista"/>
      </w:pPr>
    </w:p>
    <w:p w:rsidR="00C15769" w:rsidRPr="00043D7E" w:rsidRDefault="00C15769" w:rsidP="00C15769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</w:pPr>
      <w:r>
        <w:t xml:space="preserve">Que também, no mesmo prazo, remeta cópia do projeto executivo entregue </w:t>
      </w:r>
      <w:r w:rsidR="00E27AD3">
        <w:t xml:space="preserve">para a execução </w:t>
      </w:r>
      <w:r w:rsidR="00E27AD3" w:rsidRPr="00043D7E">
        <w:t xml:space="preserve">do Esgoto Sanitário, mesmo que não venha a ser utilizado, para que possa servir de referência </w:t>
      </w:r>
      <w:r w:rsidR="008E7EB2" w:rsidRPr="00043D7E">
        <w:t xml:space="preserve">e comparação </w:t>
      </w:r>
      <w:r w:rsidR="00E27AD3" w:rsidRPr="00043D7E">
        <w:t>para futuras obras que venham a ser realizadas no município.</w:t>
      </w:r>
    </w:p>
    <w:p w:rsidR="00C15769" w:rsidRPr="00043D7E" w:rsidRDefault="00C15769" w:rsidP="00C15769">
      <w:pPr>
        <w:pStyle w:val="PargrafodaLista"/>
      </w:pPr>
    </w:p>
    <w:p w:rsidR="00C15769" w:rsidRPr="008E7EB2" w:rsidRDefault="00C15769" w:rsidP="00C15769">
      <w:pPr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b/>
        </w:rPr>
      </w:pPr>
      <w:r w:rsidRPr="000C3A53">
        <w:t xml:space="preserve">Por fim, observe a Autarquia à necessidade de comunicação aos seus usuários de forma ampla e oficial, num período não inferior a 30 (trinta) dias, para início da cobrança do novo regime tarifário e que seja encaminhado a esta Agência cópia da nova tabela tarifária, assim como das publicações realizadas pelo </w:t>
      </w:r>
      <w:r>
        <w:t>m</w:t>
      </w:r>
      <w:r w:rsidRPr="000C3A53">
        <w:t xml:space="preserve">unicípio de </w:t>
      </w:r>
      <w:r>
        <w:t>Brusque</w:t>
      </w:r>
      <w:r w:rsidRPr="000C3A53">
        <w:t xml:space="preserve">/SC e pelo SAMAE de </w:t>
      </w:r>
      <w:r>
        <w:t>Brusque</w:t>
      </w:r>
      <w:r w:rsidRPr="000C3A53">
        <w:t>, em observação ao disposto no Artigo 39 da Lei Federal nº 11.245/2007, que estabelece</w:t>
      </w:r>
      <w:r w:rsidRPr="008E7EB2">
        <w:rPr>
          <w:b/>
        </w:rPr>
        <w:t>: “Art. 39. As tarifas serão fixadas de forma clara e objetiva, devendo os reajustes e as revisões ser tornados públicos com antecedência mínima de 30 (trinta) dias em relação à sua aplicação”.</w:t>
      </w:r>
    </w:p>
    <w:p w:rsidR="00C15769" w:rsidRDefault="00C15769" w:rsidP="00C15769">
      <w:pPr>
        <w:suppressAutoHyphens/>
        <w:spacing w:after="0" w:line="360" w:lineRule="auto"/>
        <w:ind w:firstLine="720"/>
        <w:jc w:val="both"/>
      </w:pPr>
    </w:p>
    <w:p w:rsidR="00C15769" w:rsidRDefault="00C15769" w:rsidP="00C15769">
      <w:pPr>
        <w:suppressAutoHyphens/>
        <w:spacing w:after="0" w:line="360" w:lineRule="auto"/>
        <w:ind w:firstLine="720"/>
        <w:jc w:val="both"/>
      </w:pPr>
      <w:r w:rsidRPr="000C3A53">
        <w:t xml:space="preserve">Todas as exigências complementares acima serão objeto de avaliação e de análise no próximo pedido de revisão e/ou reajuste e o não atendimento e/ou cumprimento, poderá servir como redutor do índice a ser </w:t>
      </w:r>
      <w:r w:rsidR="00E27AD3">
        <w:t>solicitado, salvo situações cons</w:t>
      </w:r>
      <w:r w:rsidRPr="000C3A53">
        <w:t>ensadas ou reconhecidas como não aplicáveis, após análise da AGIR.</w:t>
      </w:r>
    </w:p>
    <w:p w:rsidR="00E27AD3" w:rsidRPr="000C3A53" w:rsidRDefault="00E27AD3" w:rsidP="00C15769">
      <w:pPr>
        <w:suppressAutoHyphens/>
        <w:spacing w:after="0" w:line="360" w:lineRule="auto"/>
        <w:ind w:firstLine="720"/>
        <w:jc w:val="both"/>
      </w:pPr>
    </w:p>
    <w:p w:rsidR="00C15769" w:rsidRPr="000C3A53" w:rsidRDefault="00C15769" w:rsidP="00C15769">
      <w:pPr>
        <w:suppressAutoHyphens/>
        <w:spacing w:after="0" w:line="360" w:lineRule="auto"/>
        <w:ind w:firstLine="720"/>
        <w:jc w:val="both"/>
      </w:pPr>
      <w:r w:rsidRPr="006E5A47">
        <w:rPr>
          <w:color w:val="FF0000"/>
        </w:rPr>
        <w:t xml:space="preserve"> </w:t>
      </w:r>
      <w:r w:rsidRPr="000C3A53">
        <w:t>Extraia-se cópia desta</w:t>
      </w:r>
      <w:r>
        <w:t xml:space="preserve"> Decisão</w:t>
      </w:r>
      <w:r w:rsidRPr="000C3A53">
        <w:t xml:space="preserve">, bem como dos demais documentos pertinentes e, </w:t>
      </w:r>
      <w:r w:rsidRPr="000C3A53">
        <w:rPr>
          <w:bCs/>
        </w:rPr>
        <w:t>encaminhe-se para as partes</w:t>
      </w:r>
      <w:r w:rsidRPr="000C3A53">
        <w:rPr>
          <w:b/>
          <w:bCs/>
        </w:rPr>
        <w:t xml:space="preserve"> </w:t>
      </w:r>
      <w:r w:rsidRPr="000C3A53">
        <w:t>(leia-se: SAMAE</w:t>
      </w:r>
      <w:r>
        <w:t xml:space="preserve"> de Brusque e </w:t>
      </w:r>
      <w:r w:rsidRPr="000C3A53">
        <w:t>Executivo Municipal) para conhecimento e providências legais cabíveis.</w:t>
      </w:r>
    </w:p>
    <w:p w:rsidR="00C15769" w:rsidRPr="000C3A53" w:rsidRDefault="00C15769" w:rsidP="00C15769">
      <w:pPr>
        <w:suppressAutoHyphens/>
        <w:spacing w:after="0" w:line="360" w:lineRule="auto"/>
        <w:ind w:firstLine="720"/>
        <w:jc w:val="both"/>
        <w:rPr>
          <w:bCs/>
        </w:rPr>
      </w:pPr>
      <w:r w:rsidRPr="000C3A53">
        <w:rPr>
          <w:bCs/>
        </w:rPr>
        <w:t xml:space="preserve">A presente </w:t>
      </w:r>
      <w:r>
        <w:rPr>
          <w:bCs/>
        </w:rPr>
        <w:t>D</w:t>
      </w:r>
      <w:r w:rsidRPr="000C3A53">
        <w:rPr>
          <w:bCs/>
        </w:rPr>
        <w:t xml:space="preserve">ecisão entra em vigor a partir de sua publicação no Diário Oficial dos Municípios de Santa Catarina (DOM/SC), órgão oficial de publicidade da AGIR, além de também ser publicado no site da AGIR, qual seja </w:t>
      </w:r>
      <w:hyperlink r:id="rId10" w:history="1">
        <w:r w:rsidRPr="000C3A53">
          <w:rPr>
            <w:rStyle w:val="Hyperlink"/>
            <w:bCs/>
          </w:rPr>
          <w:t>www.agir.sc.gov.br</w:t>
        </w:r>
      </w:hyperlink>
      <w:r w:rsidRPr="000C3A53">
        <w:rPr>
          <w:bCs/>
        </w:rPr>
        <w:t>.</w:t>
      </w:r>
    </w:p>
    <w:p w:rsidR="00C15769" w:rsidRPr="000C3A53" w:rsidRDefault="00C15769" w:rsidP="00C15769">
      <w:pPr>
        <w:suppressAutoHyphens/>
        <w:spacing w:after="0" w:line="360" w:lineRule="auto"/>
        <w:ind w:firstLine="720"/>
        <w:jc w:val="both"/>
        <w:rPr>
          <w:bCs/>
        </w:rPr>
      </w:pPr>
      <w:r w:rsidRPr="000C3A53">
        <w:rPr>
          <w:bCs/>
        </w:rPr>
        <w:t xml:space="preserve">Não havendo manifestação no prazo de 15 (quinze) dias, </w:t>
      </w:r>
      <w:r w:rsidRPr="000C3A53">
        <w:rPr>
          <w:b/>
          <w:bCs/>
        </w:rPr>
        <w:t>DETERMINA-SE O ARQUIVAMENTO</w:t>
      </w:r>
      <w:r w:rsidRPr="000C3A53">
        <w:rPr>
          <w:bCs/>
        </w:rPr>
        <w:t xml:space="preserve"> deste procedimento administrativo, uma vez recebidas as publicações.</w:t>
      </w:r>
    </w:p>
    <w:p w:rsidR="00C15769" w:rsidRPr="000C3A53" w:rsidRDefault="00C15769" w:rsidP="00C15769">
      <w:pPr>
        <w:suppressAutoHyphens/>
        <w:spacing w:after="0" w:line="360" w:lineRule="auto"/>
        <w:ind w:left="709"/>
        <w:jc w:val="both"/>
        <w:rPr>
          <w:bCs/>
        </w:rPr>
      </w:pPr>
      <w:r w:rsidRPr="000C3A53">
        <w:rPr>
          <w:bCs/>
        </w:rPr>
        <w:t>Essa a Decisão.</w:t>
      </w:r>
    </w:p>
    <w:p w:rsidR="00C15769" w:rsidRPr="000C3A53" w:rsidRDefault="00C15769" w:rsidP="00C15769">
      <w:pPr>
        <w:suppressAutoHyphens/>
        <w:spacing w:after="0" w:line="360" w:lineRule="auto"/>
        <w:jc w:val="right"/>
        <w:rPr>
          <w:bCs/>
        </w:rPr>
      </w:pPr>
    </w:p>
    <w:p w:rsidR="00C15769" w:rsidRPr="000C3A53" w:rsidRDefault="00C15769" w:rsidP="00C15769">
      <w:pPr>
        <w:spacing w:after="0" w:line="360" w:lineRule="auto"/>
        <w:jc w:val="right"/>
      </w:pPr>
      <w:r w:rsidRPr="000C3A53">
        <w:t xml:space="preserve">Blumenau (SC), </w:t>
      </w:r>
      <w:r>
        <w:t xml:space="preserve">em </w:t>
      </w:r>
      <w:r w:rsidR="00E27AD3">
        <w:t>1</w:t>
      </w:r>
      <w:r>
        <w:t xml:space="preserve">8 </w:t>
      </w:r>
      <w:r w:rsidRPr="000C3A53">
        <w:t>de março de 201</w:t>
      </w:r>
      <w:r w:rsidR="00E27AD3">
        <w:t>9</w:t>
      </w:r>
      <w:r>
        <w:t>.</w:t>
      </w:r>
    </w:p>
    <w:p w:rsidR="00C15769" w:rsidRDefault="00C15769" w:rsidP="00C15769">
      <w:pPr>
        <w:spacing w:after="0" w:line="360" w:lineRule="auto"/>
        <w:rPr>
          <w:b/>
          <w:color w:val="FF0000"/>
        </w:rPr>
      </w:pPr>
    </w:p>
    <w:p w:rsidR="00C15769" w:rsidRDefault="00C15769" w:rsidP="00C15769">
      <w:pPr>
        <w:spacing w:after="0" w:line="360" w:lineRule="auto"/>
        <w:rPr>
          <w:b/>
          <w:color w:val="FF0000"/>
        </w:rPr>
      </w:pPr>
    </w:p>
    <w:p w:rsidR="00C15769" w:rsidRDefault="00C15769" w:rsidP="00C15769">
      <w:pPr>
        <w:spacing w:after="0" w:line="360" w:lineRule="auto"/>
        <w:rPr>
          <w:b/>
          <w:color w:val="FF0000"/>
        </w:rPr>
      </w:pPr>
    </w:p>
    <w:p w:rsidR="00C15769" w:rsidRDefault="00C15769" w:rsidP="00C15769">
      <w:pPr>
        <w:spacing w:after="0" w:line="360" w:lineRule="auto"/>
        <w:rPr>
          <w:b/>
          <w:color w:val="FF0000"/>
        </w:rPr>
      </w:pPr>
    </w:p>
    <w:p w:rsidR="00C15769" w:rsidRPr="000C3A53" w:rsidRDefault="00C15769" w:rsidP="00C15769">
      <w:pPr>
        <w:spacing w:after="0" w:line="360" w:lineRule="auto"/>
        <w:jc w:val="center"/>
        <w:rPr>
          <w:b/>
        </w:rPr>
      </w:pPr>
      <w:r w:rsidRPr="000C3A53">
        <w:rPr>
          <w:b/>
        </w:rPr>
        <w:t>HEINRICH LUIZ PASOLD</w:t>
      </w:r>
    </w:p>
    <w:p w:rsidR="00C15769" w:rsidRPr="006E5A47" w:rsidRDefault="00C15769" w:rsidP="00C15769">
      <w:pPr>
        <w:spacing w:after="0" w:line="360" w:lineRule="auto"/>
        <w:jc w:val="center"/>
        <w:rPr>
          <w:color w:val="FF0000"/>
        </w:rPr>
      </w:pPr>
      <w:r w:rsidRPr="000C3A53">
        <w:t>Diretor Geral da AGIR.</w:t>
      </w:r>
    </w:p>
    <w:sectPr w:rsidR="00C15769" w:rsidRPr="006E5A47" w:rsidSect="0046242C">
      <w:headerReference w:type="default" r:id="rId11"/>
      <w:footerReference w:type="default" r:id="rId12"/>
      <w:pgSz w:w="11906" w:h="16838" w:code="9"/>
      <w:pgMar w:top="1440" w:right="1133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AD" w:rsidRDefault="00F03AAD" w:rsidP="00325C33">
      <w:pPr>
        <w:spacing w:after="0" w:line="240" w:lineRule="auto"/>
      </w:pPr>
      <w:r>
        <w:separator/>
      </w:r>
    </w:p>
  </w:endnote>
  <w:endnote w:type="continuationSeparator" w:id="0">
    <w:p w:rsidR="00F03AAD" w:rsidRDefault="00F03AAD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D3" w:rsidRDefault="00F17D25">
    <w:pPr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277106B2" wp14:editId="361AB374">
          <wp:extent cx="6155055" cy="461629"/>
          <wp:effectExtent l="0" t="0" r="0" b="0"/>
          <wp:docPr id="8" name="Imagem 8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055" cy="46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</w:rPr>
        <w:id w:val="16127896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</w:sdtPr>
          <w:sdtEndPr/>
          <w:sdtContent/>
        </w:sdt>
      </w:sdtContent>
    </w:sdt>
  </w:p>
  <w:p w:rsidR="00325C33" w:rsidRDefault="00325C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AD" w:rsidRDefault="00F03AAD" w:rsidP="00325C33">
      <w:pPr>
        <w:spacing w:after="0" w:line="240" w:lineRule="auto"/>
      </w:pPr>
      <w:r>
        <w:separator/>
      </w:r>
    </w:p>
  </w:footnote>
  <w:footnote w:type="continuationSeparator" w:id="0">
    <w:p w:rsidR="00F03AAD" w:rsidRDefault="00F03AAD" w:rsidP="00325C33">
      <w:pPr>
        <w:spacing w:after="0" w:line="240" w:lineRule="auto"/>
      </w:pPr>
      <w:r>
        <w:continuationSeparator/>
      </w:r>
    </w:p>
  </w:footnote>
  <w:footnote w:id="1">
    <w:p w:rsidR="00D0186D" w:rsidRDefault="00D0186D">
      <w:pPr>
        <w:pStyle w:val="Textodenotaderodap"/>
      </w:pPr>
      <w:r>
        <w:rPr>
          <w:rStyle w:val="Refdenotaderodap"/>
        </w:rPr>
        <w:footnoteRef/>
      </w:r>
      <w:r>
        <w:t xml:space="preserve"> Texto extraído do Parecer Administrativo</w:t>
      </w:r>
      <w:r w:rsidR="00DC7DAC">
        <w:t xml:space="preserve"> nº </w:t>
      </w:r>
      <w:r>
        <w:t xml:space="preserve">077/2019, </w:t>
      </w:r>
      <w:r w:rsidR="000A1BA2">
        <w:t>p. 4/5</w:t>
      </w:r>
      <w:r w:rsidR="00DC7DA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33" w:rsidRDefault="00F72F17">
    <w:pPr>
      <w:pStyle w:val="Cabealho"/>
    </w:pPr>
    <w:r>
      <w:rPr>
        <w:noProof/>
      </w:rPr>
      <w:drawing>
        <wp:inline distT="0" distB="0" distL="0" distR="0" wp14:anchorId="17493434" wp14:editId="6E647A57">
          <wp:extent cx="6219825" cy="1256665"/>
          <wp:effectExtent l="0" t="0" r="9525" b="635"/>
          <wp:docPr id="7" name="Imagem 7" descr="Y:\Logomarca AGIR\Novo timbre Prê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marca AGIR\Novo timbre Prê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D7"/>
    <w:multiLevelType w:val="multilevel"/>
    <w:tmpl w:val="5DF85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A980CDC"/>
    <w:multiLevelType w:val="hybridMultilevel"/>
    <w:tmpl w:val="D91A6B62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FC26F5B"/>
    <w:multiLevelType w:val="hybridMultilevel"/>
    <w:tmpl w:val="A8FE883A"/>
    <w:lvl w:ilvl="0" w:tplc="92D45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33"/>
    <w:rsid w:val="0000187D"/>
    <w:rsid w:val="0002266E"/>
    <w:rsid w:val="00043990"/>
    <w:rsid w:val="00043D7E"/>
    <w:rsid w:val="00087E8A"/>
    <w:rsid w:val="0009272E"/>
    <w:rsid w:val="00096995"/>
    <w:rsid w:val="00096E97"/>
    <w:rsid w:val="000A1BA2"/>
    <w:rsid w:val="000F0EAC"/>
    <w:rsid w:val="00127767"/>
    <w:rsid w:val="00181407"/>
    <w:rsid w:val="001830D8"/>
    <w:rsid w:val="00184D99"/>
    <w:rsid w:val="001A4BEF"/>
    <w:rsid w:val="001C144E"/>
    <w:rsid w:val="001E59CC"/>
    <w:rsid w:val="002145A5"/>
    <w:rsid w:val="00244E08"/>
    <w:rsid w:val="00263D1A"/>
    <w:rsid w:val="002640DF"/>
    <w:rsid w:val="002667DB"/>
    <w:rsid w:val="002670D1"/>
    <w:rsid w:val="00280B21"/>
    <w:rsid w:val="002858FF"/>
    <w:rsid w:val="00293B79"/>
    <w:rsid w:val="002971A9"/>
    <w:rsid w:val="002A3377"/>
    <w:rsid w:val="002C13AB"/>
    <w:rsid w:val="002C775A"/>
    <w:rsid w:val="002E7FED"/>
    <w:rsid w:val="002F0922"/>
    <w:rsid w:val="00303C8D"/>
    <w:rsid w:val="00325C33"/>
    <w:rsid w:val="0033331B"/>
    <w:rsid w:val="0035183B"/>
    <w:rsid w:val="00354B61"/>
    <w:rsid w:val="00386875"/>
    <w:rsid w:val="0038795D"/>
    <w:rsid w:val="003B73C5"/>
    <w:rsid w:val="003F0FA7"/>
    <w:rsid w:val="004106CD"/>
    <w:rsid w:val="004118D7"/>
    <w:rsid w:val="00455800"/>
    <w:rsid w:val="0046242C"/>
    <w:rsid w:val="00493124"/>
    <w:rsid w:val="004B6EF0"/>
    <w:rsid w:val="005139DE"/>
    <w:rsid w:val="00522BF5"/>
    <w:rsid w:val="005333DD"/>
    <w:rsid w:val="00534E5C"/>
    <w:rsid w:val="00556E8C"/>
    <w:rsid w:val="0057249E"/>
    <w:rsid w:val="005748C8"/>
    <w:rsid w:val="0058157A"/>
    <w:rsid w:val="0059480F"/>
    <w:rsid w:val="005B2216"/>
    <w:rsid w:val="005B37CF"/>
    <w:rsid w:val="005E4B8B"/>
    <w:rsid w:val="00616121"/>
    <w:rsid w:val="006204BD"/>
    <w:rsid w:val="00642BA8"/>
    <w:rsid w:val="00663424"/>
    <w:rsid w:val="006770EA"/>
    <w:rsid w:val="006B3722"/>
    <w:rsid w:val="006B6182"/>
    <w:rsid w:val="006E04AD"/>
    <w:rsid w:val="00764BF5"/>
    <w:rsid w:val="007732BA"/>
    <w:rsid w:val="00787A50"/>
    <w:rsid w:val="007A111D"/>
    <w:rsid w:val="007A7257"/>
    <w:rsid w:val="007C7A9C"/>
    <w:rsid w:val="007D31E8"/>
    <w:rsid w:val="007E561D"/>
    <w:rsid w:val="007F32B0"/>
    <w:rsid w:val="0081796F"/>
    <w:rsid w:val="00842F7B"/>
    <w:rsid w:val="008574EB"/>
    <w:rsid w:val="00862F24"/>
    <w:rsid w:val="00870D9C"/>
    <w:rsid w:val="00870EA1"/>
    <w:rsid w:val="008809C6"/>
    <w:rsid w:val="00887BFE"/>
    <w:rsid w:val="008B092B"/>
    <w:rsid w:val="008C62FD"/>
    <w:rsid w:val="008D2331"/>
    <w:rsid w:val="008D500B"/>
    <w:rsid w:val="008E7EB2"/>
    <w:rsid w:val="00915CF7"/>
    <w:rsid w:val="0092734F"/>
    <w:rsid w:val="00983FC0"/>
    <w:rsid w:val="0098493E"/>
    <w:rsid w:val="009B5901"/>
    <w:rsid w:val="009C0F80"/>
    <w:rsid w:val="009E3842"/>
    <w:rsid w:val="009E47A9"/>
    <w:rsid w:val="009F6E62"/>
    <w:rsid w:val="00A14221"/>
    <w:rsid w:val="00A33A0F"/>
    <w:rsid w:val="00A62850"/>
    <w:rsid w:val="00A75759"/>
    <w:rsid w:val="00A94064"/>
    <w:rsid w:val="00AC342D"/>
    <w:rsid w:val="00AD5A77"/>
    <w:rsid w:val="00AF4C64"/>
    <w:rsid w:val="00B30681"/>
    <w:rsid w:val="00B35DBB"/>
    <w:rsid w:val="00B4486D"/>
    <w:rsid w:val="00B73791"/>
    <w:rsid w:val="00B759CD"/>
    <w:rsid w:val="00B85B1F"/>
    <w:rsid w:val="00BA42D1"/>
    <w:rsid w:val="00BC1C91"/>
    <w:rsid w:val="00BE70D5"/>
    <w:rsid w:val="00C0546E"/>
    <w:rsid w:val="00C15769"/>
    <w:rsid w:val="00C15D20"/>
    <w:rsid w:val="00C24A4D"/>
    <w:rsid w:val="00CE045B"/>
    <w:rsid w:val="00CF615A"/>
    <w:rsid w:val="00D0186D"/>
    <w:rsid w:val="00D027C2"/>
    <w:rsid w:val="00D133D3"/>
    <w:rsid w:val="00D2358E"/>
    <w:rsid w:val="00D528A1"/>
    <w:rsid w:val="00D63670"/>
    <w:rsid w:val="00D71C3C"/>
    <w:rsid w:val="00D84CB0"/>
    <w:rsid w:val="00D855E4"/>
    <w:rsid w:val="00D90A3D"/>
    <w:rsid w:val="00D97A91"/>
    <w:rsid w:val="00DB1DBB"/>
    <w:rsid w:val="00DC1E2A"/>
    <w:rsid w:val="00DC4F0D"/>
    <w:rsid w:val="00DC7DAC"/>
    <w:rsid w:val="00DE51EA"/>
    <w:rsid w:val="00E27AD3"/>
    <w:rsid w:val="00E30A1B"/>
    <w:rsid w:val="00E35156"/>
    <w:rsid w:val="00E51526"/>
    <w:rsid w:val="00E60E62"/>
    <w:rsid w:val="00E62328"/>
    <w:rsid w:val="00E82D8D"/>
    <w:rsid w:val="00E83F68"/>
    <w:rsid w:val="00E8735F"/>
    <w:rsid w:val="00EC21B8"/>
    <w:rsid w:val="00EE4A57"/>
    <w:rsid w:val="00EE75C7"/>
    <w:rsid w:val="00EF343E"/>
    <w:rsid w:val="00EF3DA1"/>
    <w:rsid w:val="00EF797F"/>
    <w:rsid w:val="00F03AAD"/>
    <w:rsid w:val="00F17D25"/>
    <w:rsid w:val="00F33A72"/>
    <w:rsid w:val="00F61FC4"/>
    <w:rsid w:val="00F64454"/>
    <w:rsid w:val="00F67635"/>
    <w:rsid w:val="00F72F17"/>
    <w:rsid w:val="00F77433"/>
    <w:rsid w:val="00F80703"/>
    <w:rsid w:val="00F913E7"/>
    <w:rsid w:val="00F94747"/>
    <w:rsid w:val="00FA2FFB"/>
    <w:rsid w:val="00FB4EA6"/>
    <w:rsid w:val="00FB5FE5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2F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uiPriority w:val="99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56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E561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6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561D"/>
    <w:rPr>
      <w:vertAlign w:val="superscript"/>
    </w:rPr>
  </w:style>
  <w:style w:type="character" w:customStyle="1" w:styleId="apple-converted-space">
    <w:name w:val="apple-converted-space"/>
    <w:rsid w:val="0046242C"/>
  </w:style>
  <w:style w:type="character" w:styleId="Refdecomentrio">
    <w:name w:val="annotation reference"/>
    <w:basedOn w:val="Fontepargpadro"/>
    <w:uiPriority w:val="99"/>
    <w:semiHidden/>
    <w:unhideWhenUsed/>
    <w:rsid w:val="00D018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8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8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8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86D"/>
    <w:rPr>
      <w:b/>
      <w:bCs/>
      <w:sz w:val="20"/>
      <w:szCs w:val="20"/>
    </w:rPr>
  </w:style>
  <w:style w:type="paragraph" w:customStyle="1" w:styleId="texto1">
    <w:name w:val="texto1"/>
    <w:basedOn w:val="Normal"/>
    <w:rsid w:val="008B092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B0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A2F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nhideWhenUsed/>
    <w:rsid w:val="00FA2FFB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A2FFB"/>
    <w:rPr>
      <w:rFonts w:ascii="Times New Roman" w:eastAsia="Times New Roman" w:hAnsi="Times New Roman"/>
    </w:rPr>
  </w:style>
  <w:style w:type="character" w:styleId="Hyperlink">
    <w:name w:val="Hyperlink"/>
    <w:uiPriority w:val="99"/>
    <w:rsid w:val="00CE04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E0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61F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C4"/>
    <w:rPr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56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E561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56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56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561D"/>
    <w:rPr>
      <w:vertAlign w:val="superscript"/>
    </w:rPr>
  </w:style>
  <w:style w:type="character" w:customStyle="1" w:styleId="apple-converted-space">
    <w:name w:val="apple-converted-space"/>
    <w:rsid w:val="0046242C"/>
  </w:style>
  <w:style w:type="character" w:styleId="Refdecomentrio">
    <w:name w:val="annotation reference"/>
    <w:basedOn w:val="Fontepargpadro"/>
    <w:uiPriority w:val="99"/>
    <w:semiHidden/>
    <w:unhideWhenUsed/>
    <w:rsid w:val="00D018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8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8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8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86D"/>
    <w:rPr>
      <w:b/>
      <w:bCs/>
      <w:sz w:val="20"/>
      <w:szCs w:val="20"/>
    </w:rPr>
  </w:style>
  <w:style w:type="paragraph" w:customStyle="1" w:styleId="texto1">
    <w:name w:val="texto1"/>
    <w:basedOn w:val="Normal"/>
    <w:rsid w:val="008B092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B0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gir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DEC%207.217-2010?OpenDocu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8627-653B-41B2-A6F3-81CA51F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2789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7</cp:revision>
  <cp:lastPrinted>2019-02-28T16:00:00Z</cp:lastPrinted>
  <dcterms:created xsi:type="dcterms:W3CDTF">2019-03-19T13:55:00Z</dcterms:created>
  <dcterms:modified xsi:type="dcterms:W3CDTF">2019-03-19T20:18:00Z</dcterms:modified>
</cp:coreProperties>
</file>