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0D4" w:rsidRDefault="005B30D4" w:rsidP="005B30D4">
      <w:pPr>
        <w:spacing w:after="0"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DECISÃO </w:t>
      </w:r>
      <w:r w:rsidR="008E5EA3">
        <w:rPr>
          <w:b/>
          <w:sz w:val="40"/>
          <w:szCs w:val="40"/>
          <w:u w:val="single"/>
        </w:rPr>
        <w:t>Nº</w:t>
      </w:r>
      <w:r>
        <w:rPr>
          <w:b/>
          <w:sz w:val="40"/>
          <w:szCs w:val="40"/>
          <w:u w:val="single"/>
        </w:rPr>
        <w:t xml:space="preserve"> 037/2018</w:t>
      </w:r>
    </w:p>
    <w:p w:rsidR="005B30D4" w:rsidRPr="00C57EBE" w:rsidRDefault="005B30D4" w:rsidP="005B30D4">
      <w:pPr>
        <w:spacing w:after="0" w:line="360" w:lineRule="auto"/>
        <w:rPr>
          <w:b/>
          <w:u w:val="single"/>
        </w:rPr>
      </w:pPr>
    </w:p>
    <w:p w:rsidR="005B30D4" w:rsidRPr="00C57EBE" w:rsidRDefault="005B30D4" w:rsidP="005B30D4">
      <w:pPr>
        <w:spacing w:after="0" w:line="360" w:lineRule="auto"/>
        <w:rPr>
          <w:b/>
          <w:u w:val="single"/>
        </w:rPr>
      </w:pPr>
      <w:r w:rsidRPr="00C57EBE">
        <w:rPr>
          <w:b/>
          <w:u w:val="single"/>
        </w:rPr>
        <w:t xml:space="preserve">PROCEDIMENTO ADMINISTRATIVO Nº </w:t>
      </w:r>
      <w:r w:rsidR="00C57EBE">
        <w:rPr>
          <w:b/>
          <w:u w:val="single"/>
        </w:rPr>
        <w:t>0</w:t>
      </w:r>
      <w:r w:rsidRPr="00C57EBE">
        <w:rPr>
          <w:b/>
          <w:u w:val="single"/>
        </w:rPr>
        <w:t>66/2018</w:t>
      </w:r>
    </w:p>
    <w:p w:rsidR="005B30D4" w:rsidRPr="00C57EBE" w:rsidRDefault="005B30D4" w:rsidP="005B30D4">
      <w:pPr>
        <w:pStyle w:val="NormalWeb"/>
        <w:spacing w:before="0" w:beforeAutospacing="0" w:after="0" w:afterAutospacing="0" w:line="360" w:lineRule="auto"/>
        <w:jc w:val="both"/>
      </w:pPr>
      <w:r w:rsidRPr="00C57EBE">
        <w:rPr>
          <w:b/>
          <w:u w:val="single"/>
        </w:rPr>
        <w:t>OBJETO</w:t>
      </w:r>
      <w:r w:rsidRPr="00C57EBE">
        <w:rPr>
          <w:b/>
        </w:rPr>
        <w:t xml:space="preserve">: </w:t>
      </w:r>
      <w:r w:rsidRPr="00C57EBE">
        <w:t>Análise do pedido de reajuste anual tarifário dos serviços públicos prestados pelo Serviço Autônomo Municipal de Água e Esgoto de Timbó – SAMAE.</w:t>
      </w:r>
    </w:p>
    <w:p w:rsidR="005B30D4" w:rsidRPr="00C57EBE" w:rsidRDefault="005B30D4" w:rsidP="005B30D4">
      <w:pPr>
        <w:pStyle w:val="NormalWeb"/>
        <w:spacing w:before="0" w:beforeAutospacing="0" w:after="0" w:afterAutospacing="0" w:line="360" w:lineRule="auto"/>
        <w:jc w:val="both"/>
      </w:pPr>
      <w:r w:rsidRPr="00C57EBE">
        <w:rPr>
          <w:b/>
          <w:u w:val="single"/>
        </w:rPr>
        <w:t>SOLICITANTE</w:t>
      </w:r>
      <w:r w:rsidRPr="00C57EBE">
        <w:rPr>
          <w:b/>
        </w:rPr>
        <w:t xml:space="preserve">: </w:t>
      </w:r>
      <w:r w:rsidRPr="00C57EBE">
        <w:t>Serviço Autônomo Municipal de Água e Esgoto de Timbó – SAMAE.</w:t>
      </w:r>
    </w:p>
    <w:p w:rsidR="005B30D4" w:rsidRPr="00C57EBE" w:rsidRDefault="005B30D4" w:rsidP="005B30D4">
      <w:pPr>
        <w:spacing w:after="0" w:line="360" w:lineRule="auto"/>
        <w:jc w:val="both"/>
      </w:pPr>
      <w:r w:rsidRPr="00C57EBE">
        <w:rPr>
          <w:b/>
          <w:u w:val="single"/>
        </w:rPr>
        <w:t>INTERESSADO</w:t>
      </w:r>
      <w:r w:rsidR="00C57EBE">
        <w:rPr>
          <w:b/>
          <w:u w:val="single"/>
        </w:rPr>
        <w:t>S</w:t>
      </w:r>
      <w:r w:rsidRPr="00C57EBE">
        <w:rPr>
          <w:b/>
        </w:rPr>
        <w:t xml:space="preserve">: </w:t>
      </w:r>
      <w:r w:rsidRPr="00C57EBE">
        <w:t>Município e SAMAE de Timbó.</w:t>
      </w:r>
    </w:p>
    <w:p w:rsidR="005B30D4" w:rsidRPr="00C57EBE" w:rsidRDefault="005B30D4" w:rsidP="005B30D4">
      <w:pPr>
        <w:spacing w:after="0" w:line="360" w:lineRule="auto"/>
        <w:jc w:val="both"/>
      </w:pPr>
    </w:p>
    <w:p w:rsidR="00D339A3" w:rsidRDefault="00D339A3" w:rsidP="00D339A3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C57EBE">
        <w:rPr>
          <w:b/>
        </w:rPr>
        <w:t>1 RELATÓRIO:</w:t>
      </w:r>
    </w:p>
    <w:p w:rsidR="00C57EBE" w:rsidRPr="00C57EBE" w:rsidRDefault="00C57EBE" w:rsidP="00D339A3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620042" w:rsidRPr="00C57EBE" w:rsidRDefault="00620042" w:rsidP="00620042">
      <w:pPr>
        <w:pStyle w:val="NormalWeb"/>
        <w:spacing w:before="0" w:beforeAutospacing="0" w:after="0" w:afterAutospacing="0" w:line="360" w:lineRule="auto"/>
        <w:ind w:firstLine="1134"/>
        <w:jc w:val="both"/>
      </w:pPr>
      <w:r w:rsidRPr="00C57EBE">
        <w:t>Por intermédio de meio eletrônico (</w:t>
      </w:r>
      <w:r w:rsidR="00C57EBE">
        <w:t>e</w:t>
      </w:r>
      <w:r w:rsidRPr="00C57EBE">
        <w:t xml:space="preserve">-mail), o Serviço Autônomo Municipal de Água e Esgoto de Timbó – SAMAE, em data de </w:t>
      </w:r>
      <w:r w:rsidR="00C57EBE">
        <w:t>02</w:t>
      </w:r>
      <w:r w:rsidRPr="00C57EBE">
        <w:t xml:space="preserve"> de abril do corrente ano, encaminhou o seu pedido de reajuste linear dos serviços e preços daquela </w:t>
      </w:r>
      <w:r w:rsidR="00C57EBE">
        <w:t>A</w:t>
      </w:r>
      <w:r w:rsidRPr="00C57EBE">
        <w:t>utarquia, para o período de doze (12) meses. Em seu pleito solicita, além do reajuste inflacionário de 1,55% (um v</w:t>
      </w:r>
      <w:r w:rsidR="00C57EBE">
        <w:t>í</w:t>
      </w:r>
      <w:r w:rsidRPr="00C57EBE">
        <w:t>rgula cinquenta e cinco por cento</w:t>
      </w:r>
      <w:r w:rsidR="00C57EBE">
        <w:t>,</w:t>
      </w:r>
      <w:r w:rsidRPr="00C57EBE">
        <w:t xml:space="preserve"> um reforço no percentual de 4,00% (quatro por cento), perfazendo o tal de 5,55% (cinco vírgula cinquenta e cinco por cento), e, como de praxe, para que os trâmites tomassem </w:t>
      </w:r>
      <w:r w:rsidR="00C57EBE">
        <w:t xml:space="preserve">o </w:t>
      </w:r>
      <w:r w:rsidRPr="00C57EBE">
        <w:t xml:space="preserve">caminho necessário, foi instaurado o Procedimento Administrativo nº </w:t>
      </w:r>
      <w:r w:rsidR="00C57EBE">
        <w:t>0</w:t>
      </w:r>
      <w:r w:rsidRPr="00C57EBE">
        <w:t xml:space="preserve">66/2018, ora em </w:t>
      </w:r>
      <w:r w:rsidR="00C57EBE">
        <w:t>a</w:t>
      </w:r>
      <w:r w:rsidRPr="00C57EBE">
        <w:t>preciação.</w:t>
      </w:r>
    </w:p>
    <w:p w:rsidR="00A73C63" w:rsidRPr="00C57EBE" w:rsidRDefault="00620042" w:rsidP="00620042">
      <w:pPr>
        <w:pStyle w:val="NormalWeb"/>
        <w:spacing w:before="0" w:beforeAutospacing="0" w:after="0" w:afterAutospacing="0" w:line="360" w:lineRule="auto"/>
        <w:ind w:firstLine="1134"/>
        <w:jc w:val="both"/>
      </w:pPr>
      <w:r w:rsidRPr="00C57EBE">
        <w:t xml:space="preserve">Processados os documentos iniciais, através do </w:t>
      </w:r>
      <w:r w:rsidR="00D94DAD">
        <w:t>P</w:t>
      </w:r>
      <w:r w:rsidRPr="00C57EBE">
        <w:t>rocedimento acima mencionado, o mesmo foi encaminhado para estudos e elabora</w:t>
      </w:r>
      <w:r w:rsidR="00FE2E32">
        <w:t>ção de P</w:t>
      </w:r>
      <w:r w:rsidRPr="00C57EBE">
        <w:t xml:space="preserve">arecer </w:t>
      </w:r>
      <w:r w:rsidR="00A73C63" w:rsidRPr="00C57EBE">
        <w:t xml:space="preserve">da </w:t>
      </w:r>
      <w:r w:rsidR="00FE2E32">
        <w:t>G</w:t>
      </w:r>
      <w:r w:rsidR="00A73C63" w:rsidRPr="00C57EBE">
        <w:t xml:space="preserve">erência de </w:t>
      </w:r>
      <w:r w:rsidR="00FE2E32">
        <w:t>E</w:t>
      </w:r>
      <w:r w:rsidR="00A73C63" w:rsidRPr="00C57EBE">
        <w:t xml:space="preserve">studos </w:t>
      </w:r>
      <w:r w:rsidR="00FE2E32">
        <w:t>E</w:t>
      </w:r>
      <w:r w:rsidR="00A73C63" w:rsidRPr="00C57EBE">
        <w:t>conômico</w:t>
      </w:r>
      <w:r w:rsidR="00FE2E32">
        <w:t>-F</w:t>
      </w:r>
      <w:r w:rsidR="00A73C63" w:rsidRPr="00C57EBE">
        <w:t xml:space="preserve">inanceiros, que emitiu o Parecer Administrativo nº 058/2018, composto por quarenta e sete (47) páginas. Do mesmo modo, concluída essa análise, </w:t>
      </w:r>
      <w:r w:rsidR="00FE2E32">
        <w:t>a Assessoria Jurídica da AGIR</w:t>
      </w:r>
      <w:r w:rsidR="00A73C63" w:rsidRPr="00C57EBE">
        <w:t xml:space="preserve"> apresenta o Parecer Jurídico</w:t>
      </w:r>
      <w:r w:rsidR="004268D3" w:rsidRPr="00C57EBE">
        <w:t xml:space="preserve"> nº 104/2018.</w:t>
      </w:r>
    </w:p>
    <w:p w:rsidR="004268D3" w:rsidRPr="00C57EBE" w:rsidRDefault="004268D3" w:rsidP="00620042">
      <w:pPr>
        <w:pStyle w:val="NormalWeb"/>
        <w:spacing w:before="0" w:beforeAutospacing="0" w:after="0" w:afterAutospacing="0" w:line="360" w:lineRule="auto"/>
        <w:ind w:firstLine="1134"/>
        <w:jc w:val="both"/>
      </w:pPr>
      <w:r w:rsidRPr="00C57EBE">
        <w:t xml:space="preserve">Ambos os </w:t>
      </w:r>
      <w:r w:rsidR="00FE2E32">
        <w:t>P</w:t>
      </w:r>
      <w:r w:rsidRPr="00C57EBE">
        <w:t xml:space="preserve">areceres tratam sobre a competência da AGIR em se manifestar no caso em tela, tudo por força da legislação citada, que delegou a essa </w:t>
      </w:r>
      <w:r w:rsidR="00FE2E32">
        <w:t>A</w:t>
      </w:r>
      <w:r w:rsidRPr="00C57EBE">
        <w:t xml:space="preserve">gência os assuntos regulatórios para o saneamento básico, em respeito </w:t>
      </w:r>
      <w:r w:rsidR="008E5EA3" w:rsidRPr="00C57EBE">
        <w:t>à</w:t>
      </w:r>
      <w:r w:rsidRPr="00C57EBE">
        <w:t xml:space="preserve"> Lei nº 11.445/2007, além de tecer e abordar vários outros assuntos relevantes, diante da responsabilidade inerente aos aspectos regulatórios.</w:t>
      </w:r>
    </w:p>
    <w:p w:rsidR="004268D3" w:rsidRPr="00C57EBE" w:rsidRDefault="004268D3" w:rsidP="00620042">
      <w:pPr>
        <w:pStyle w:val="NormalWeb"/>
        <w:spacing w:before="0" w:beforeAutospacing="0" w:after="0" w:afterAutospacing="0" w:line="360" w:lineRule="auto"/>
        <w:ind w:firstLine="1134"/>
        <w:jc w:val="both"/>
      </w:pPr>
      <w:r w:rsidRPr="00C57EBE">
        <w:lastRenderedPageBreak/>
        <w:t xml:space="preserve">O Parecer Administrativo perpassa, com propriedade, pela identificação do município consorciado e faz o cotejo entre o atual pedido e a aquele efetuado no ano anterior, tendo assim, o início de prazo para análise e apontamentos. </w:t>
      </w:r>
    </w:p>
    <w:p w:rsidR="003601A9" w:rsidRDefault="009C311D" w:rsidP="00495EA8">
      <w:pPr>
        <w:pStyle w:val="NormalWeb"/>
        <w:spacing w:before="0" w:beforeAutospacing="0" w:after="0" w:afterAutospacing="0" w:line="360" w:lineRule="auto"/>
        <w:ind w:firstLine="1134"/>
        <w:jc w:val="both"/>
        <w:rPr>
          <w:i/>
          <w:color w:val="000000"/>
        </w:rPr>
      </w:pPr>
      <w:r w:rsidRPr="00C57EBE">
        <w:t>A análise econômic</w:t>
      </w:r>
      <w:r w:rsidR="00E0066F">
        <w:t>o-</w:t>
      </w:r>
      <w:r w:rsidRPr="00C57EBE">
        <w:t xml:space="preserve">financeira inicia com seu olhar regulatório para os investimentos e o faz cotejando o Plano Municipal de Saneamento Básico (PMSB), </w:t>
      </w:r>
      <w:r w:rsidR="00E0066F">
        <w:t>trazendo</w:t>
      </w:r>
      <w:r w:rsidRPr="00C57EBE">
        <w:t xml:space="preserve"> para análise quadros com os valores e ações projetadas para o período (2015/2020). Nessa análise</w:t>
      </w:r>
      <w:r w:rsidR="00E0066F">
        <w:t>,</w:t>
      </w:r>
      <w:r w:rsidRPr="00C57EBE">
        <w:t xml:space="preserve"> já vem destacado que para o ano de 2018 existe uma previsão de gastos estimados em R$ 480.000,00</w:t>
      </w:r>
      <w:r w:rsidR="00E0066F">
        <w:t xml:space="preserve"> (quatrocentos e oitenta mil reais)</w:t>
      </w:r>
      <w:r w:rsidRPr="00C57EBE">
        <w:t xml:space="preserve">, prevendo a ampliação para a captação de água. Essa ação, </w:t>
      </w:r>
      <w:r w:rsidR="008E5EA3" w:rsidRPr="00C57EBE">
        <w:t>no entanto,</w:t>
      </w:r>
      <w:r w:rsidRPr="00C57EBE">
        <w:t xml:space="preserve"> não está prevista no PMSB. Já para ampliação da rede de distribuição havia sido </w:t>
      </w:r>
      <w:r w:rsidR="003601A9" w:rsidRPr="00C57EBE">
        <w:t xml:space="preserve">previsto um investimento em 2017, mas isso não ocorreu. Já para o ano de 2018 está previsto um investimento acima de </w:t>
      </w:r>
      <w:r w:rsidR="00E0066F">
        <w:t>R$ 1.000.000,00 (</w:t>
      </w:r>
      <w:r w:rsidR="003601A9" w:rsidRPr="00C57EBE">
        <w:t>um milhão de reais</w:t>
      </w:r>
      <w:r w:rsidR="00E0066F">
        <w:t>)</w:t>
      </w:r>
      <w:r w:rsidR="003601A9" w:rsidRPr="00C57EBE">
        <w:t xml:space="preserve">. Quase o mesmo valor está previsto para a ampliação da reservação, </w:t>
      </w:r>
      <w:r w:rsidR="00E0066F">
        <w:t xml:space="preserve">porém ressalta-se que o referido </w:t>
      </w:r>
      <w:r w:rsidR="003601A9" w:rsidRPr="00C57EBE">
        <w:t>valor não</w:t>
      </w:r>
      <w:r w:rsidR="00E0066F">
        <w:t xml:space="preserve"> </w:t>
      </w:r>
      <w:proofErr w:type="spellStart"/>
      <w:r w:rsidR="00E0066F">
        <w:t>est</w:t>
      </w:r>
      <w:r w:rsidR="00202FDF">
        <w:t>á</w:t>
      </w:r>
      <w:proofErr w:type="spellEnd"/>
      <w:r w:rsidR="00E0066F">
        <w:t xml:space="preserve"> </w:t>
      </w:r>
      <w:proofErr w:type="gramStart"/>
      <w:r w:rsidR="003601A9" w:rsidRPr="00C57EBE">
        <w:t>previst</w:t>
      </w:r>
      <w:r w:rsidR="00E0066F">
        <w:t>os</w:t>
      </w:r>
      <w:proofErr w:type="gramEnd"/>
      <w:r w:rsidR="003601A9" w:rsidRPr="00C57EBE">
        <w:t xml:space="preserve"> no PMSB. E assim segue a análise do Parecer </w:t>
      </w:r>
      <w:r w:rsidR="004476E7">
        <w:t>Administrativo</w:t>
      </w:r>
      <w:r w:rsidR="003601A9" w:rsidRPr="00C57EBE">
        <w:t xml:space="preserve">: </w:t>
      </w:r>
      <w:r w:rsidR="004476E7" w:rsidRPr="004476E7">
        <w:t>“</w:t>
      </w:r>
      <w:r w:rsidR="003601A9" w:rsidRPr="004476E7">
        <w:rPr>
          <w:color w:val="000000"/>
        </w:rPr>
        <w:t>Como podemos observar, há uma divergência significativa entre o PMSB e a aplicação efetiva dos recursos. É importante que na revisão em curso do PMSB ajustes sejam feitos para que os investimentos levados a efeito pelo SAMAE estejam em sintonia com o PMSB”</w:t>
      </w:r>
      <w:r w:rsidR="004476E7">
        <w:rPr>
          <w:color w:val="000000"/>
        </w:rPr>
        <w:t>.</w:t>
      </w:r>
    </w:p>
    <w:p w:rsidR="003601A9" w:rsidRDefault="003601A9" w:rsidP="00495EA8">
      <w:pPr>
        <w:pStyle w:val="PargrafodaLista"/>
        <w:spacing w:after="0" w:line="360" w:lineRule="auto"/>
        <w:ind w:left="0" w:firstLine="113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Alerta o Parecer</w:t>
      </w:r>
      <w:r w:rsidR="004476E7">
        <w:rPr>
          <w:rFonts w:eastAsia="Times New Roman"/>
          <w:color w:val="000000"/>
        </w:rPr>
        <w:t xml:space="preserve"> em tela</w:t>
      </w:r>
      <w:r>
        <w:rPr>
          <w:rFonts w:eastAsia="Times New Roman"/>
          <w:color w:val="000000"/>
        </w:rPr>
        <w:t>, que existe sim, uma projeção de investimentos concentrad</w:t>
      </w:r>
      <w:r w:rsidR="004476E7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 xml:space="preserve"> no ano vigente, que apesar de não presentes no PMSB, fato que poderá, em tese, caracterizar o descumprimento legal, mas que, também poderá ser modificad</w:t>
      </w:r>
      <w:r w:rsidR="004476E7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 xml:space="preserve"> com a revisão do referido </w:t>
      </w:r>
      <w:r w:rsidR="004476E7">
        <w:rPr>
          <w:rFonts w:eastAsia="Times New Roman"/>
          <w:color w:val="000000"/>
        </w:rPr>
        <w:t>P</w:t>
      </w:r>
      <w:r>
        <w:rPr>
          <w:rFonts w:eastAsia="Times New Roman"/>
          <w:color w:val="000000"/>
        </w:rPr>
        <w:t>lano, ou ainda por justificativas técnicas que venham a configurar a necessidade de ações diversas daquel</w:t>
      </w:r>
      <w:r w:rsidR="004476E7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>s apontadas inicialmente.</w:t>
      </w:r>
    </w:p>
    <w:p w:rsidR="003601A9" w:rsidRDefault="004C735F" w:rsidP="00495EA8">
      <w:pPr>
        <w:pStyle w:val="PargrafodaLista"/>
        <w:spacing w:after="0" w:line="360" w:lineRule="auto"/>
        <w:ind w:left="0" w:firstLine="113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 </w:t>
      </w:r>
      <w:r w:rsidR="00202FDF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 xml:space="preserve">gência, já exercendo a sua obrigação de fiscalização, no início desde ano solicitou </w:t>
      </w:r>
      <w:r w:rsidR="00202FDF">
        <w:rPr>
          <w:rFonts w:eastAsia="Times New Roman"/>
          <w:color w:val="000000"/>
        </w:rPr>
        <w:t xml:space="preserve">que </w:t>
      </w:r>
      <w:r>
        <w:rPr>
          <w:rFonts w:eastAsia="Times New Roman"/>
          <w:color w:val="000000"/>
        </w:rPr>
        <w:t>fosse encaminhado um cronograma de investimentos para 2018</w:t>
      </w:r>
      <w:r w:rsidR="00202FDF">
        <w:rPr>
          <w:rFonts w:eastAsia="Times New Roman"/>
          <w:color w:val="000000"/>
        </w:rPr>
        <w:t>/2019 (próximo ciclo tarifário)</w:t>
      </w:r>
      <w:r>
        <w:rPr>
          <w:rFonts w:eastAsia="Times New Roman"/>
          <w:color w:val="000000"/>
        </w:rPr>
        <w:t>, e ali ficou apontado um total de R$ 2.995.000,00 (dois milhões</w:t>
      </w:r>
      <w:r w:rsidR="00202FDF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novecentos e noventa e cinco mil reais). São informações que colocam em nível de atenção a gestão do SAMAE de Timbó.</w:t>
      </w:r>
    </w:p>
    <w:p w:rsidR="004C735F" w:rsidRDefault="00202FDF" w:rsidP="00495EA8">
      <w:pPr>
        <w:pStyle w:val="PargrafodaLista"/>
        <w:spacing w:after="0" w:line="360" w:lineRule="auto"/>
        <w:ind w:left="0" w:firstLine="113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Nessa vertente, n</w:t>
      </w:r>
      <w:r w:rsidR="004C735F">
        <w:rPr>
          <w:rFonts w:eastAsia="Times New Roman"/>
          <w:color w:val="000000"/>
        </w:rPr>
        <w:t xml:space="preserve">o item 4.3, a análise </w:t>
      </w:r>
      <w:r>
        <w:rPr>
          <w:rFonts w:eastAsia="Times New Roman"/>
          <w:color w:val="000000"/>
        </w:rPr>
        <w:t xml:space="preserve">do Parecer Administrativo </w:t>
      </w:r>
      <w:r w:rsidR="004C735F">
        <w:rPr>
          <w:rFonts w:eastAsia="Times New Roman"/>
          <w:color w:val="000000"/>
        </w:rPr>
        <w:t xml:space="preserve">fixa seu olhar nos percentuais dos investimentos, e estes apontam para uma certa diminuição dos investimentos, indo em sentido contrário a boa capacidade de investimentos, apesar de haver uma certa preocupação com </w:t>
      </w:r>
      <w:r w:rsidR="008E5EA3">
        <w:rPr>
          <w:rFonts w:eastAsia="Times New Roman"/>
          <w:color w:val="000000"/>
        </w:rPr>
        <w:t>a conta</w:t>
      </w:r>
      <w:r w:rsidR="004C735F">
        <w:rPr>
          <w:rFonts w:eastAsia="Times New Roman"/>
          <w:color w:val="000000"/>
        </w:rPr>
        <w:t xml:space="preserve"> água, quando excluída a conta resíduos sólidos urbanos.</w:t>
      </w:r>
    </w:p>
    <w:p w:rsidR="004C735F" w:rsidRDefault="004C735F" w:rsidP="00495EA8">
      <w:pPr>
        <w:pStyle w:val="PargrafodaLista"/>
        <w:spacing w:after="0" w:line="360" w:lineRule="auto"/>
        <w:ind w:left="0" w:firstLine="113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Neste diapasão, o </w:t>
      </w:r>
      <w:r w:rsidR="00202FDF">
        <w:rPr>
          <w:rFonts w:eastAsia="Times New Roman"/>
          <w:color w:val="000000"/>
        </w:rPr>
        <w:t>P</w:t>
      </w:r>
      <w:r>
        <w:rPr>
          <w:rFonts w:eastAsia="Times New Roman"/>
          <w:color w:val="000000"/>
        </w:rPr>
        <w:t xml:space="preserve">arecer assim se </w:t>
      </w:r>
      <w:r w:rsidR="008E5EA3">
        <w:rPr>
          <w:rFonts w:eastAsia="Times New Roman"/>
          <w:color w:val="000000"/>
        </w:rPr>
        <w:t>posiciona</w:t>
      </w:r>
      <w:r>
        <w:rPr>
          <w:rFonts w:eastAsia="Times New Roman"/>
          <w:color w:val="000000"/>
        </w:rPr>
        <w:t>:</w:t>
      </w:r>
    </w:p>
    <w:p w:rsidR="004C735F" w:rsidRPr="00202FDF" w:rsidRDefault="004C735F" w:rsidP="00202FDF">
      <w:pPr>
        <w:pStyle w:val="PargrafodaLista"/>
        <w:spacing w:after="0" w:line="240" w:lineRule="auto"/>
        <w:ind w:left="2268"/>
        <w:jc w:val="both"/>
        <w:rPr>
          <w:sz w:val="22"/>
          <w:szCs w:val="22"/>
        </w:rPr>
      </w:pPr>
      <w:r w:rsidRPr="00202FDF">
        <w:rPr>
          <w:sz w:val="22"/>
          <w:szCs w:val="22"/>
        </w:rPr>
        <w:t>O alerta é no sentido do SAMAE não prejudicar os investimentos, e com isto, como consequência, a dificuldade de atender seu Plano Municipal de Saneamento Básico (PMSB). Os investimentos em saneamento devem ter como premissa básica a alocação de recursos para atender o crescimento vegetativo da população do município, além disso, suprir e substituir redes obsoletas e a tecnologia a ser utilizada. Investimentos não aplicados em tempo oportuno causam custos elevados de reposição ao longo do período, fazendo com que a tarifa se eleve para atender estes novos custos de investimentos.</w:t>
      </w:r>
    </w:p>
    <w:p w:rsidR="009B2FE8" w:rsidRDefault="009B2FE8" w:rsidP="00D9511D">
      <w:pPr>
        <w:pStyle w:val="PargrafodaLista"/>
        <w:spacing w:after="0" w:line="360" w:lineRule="auto"/>
        <w:ind w:left="1701"/>
        <w:jc w:val="both"/>
      </w:pPr>
    </w:p>
    <w:p w:rsidR="009B2FE8" w:rsidRDefault="009B2FE8" w:rsidP="00D9511D">
      <w:pPr>
        <w:pStyle w:val="PargrafodaLista"/>
        <w:spacing w:after="0" w:line="360" w:lineRule="auto"/>
        <w:ind w:left="0" w:firstLine="1134"/>
        <w:jc w:val="both"/>
      </w:pPr>
      <w:r>
        <w:t xml:space="preserve">A análise do Parecer, perpassa também seu olhar, pelo trabalho da fiscalização, </w:t>
      </w:r>
      <w:r w:rsidR="00D9511D">
        <w:t>pel</w:t>
      </w:r>
      <w:r>
        <w:t xml:space="preserve">os gastos com a energia elétrica, os volumes de água produzida (quadro 10, gráfico 6) e outros indicadores, </w:t>
      </w:r>
      <w:r w:rsidR="00D9511D">
        <w:t xml:space="preserve">como </w:t>
      </w:r>
      <w:r>
        <w:t>hidrômetros (quadro 11)</w:t>
      </w:r>
      <w:r w:rsidR="00D9511D">
        <w:t xml:space="preserve"> e</w:t>
      </w:r>
      <w:r>
        <w:t xml:space="preserve"> perdas (quadros 12 e 13), onde um número de 37,94% </w:t>
      </w:r>
      <w:r w:rsidR="00D9511D">
        <w:t xml:space="preserve">(trinta e sete vírgula noventa e quatro por cento) </w:t>
      </w:r>
      <w:r>
        <w:t>se destaca e</w:t>
      </w:r>
      <w:r w:rsidR="00D9511D">
        <w:t xml:space="preserve">, </w:t>
      </w:r>
      <w:r>
        <w:t xml:space="preserve">deve ser fonte de preocupação para promover ações urgentes para reduzir esse índice. Já </w:t>
      </w:r>
      <w:r w:rsidR="00D9511D">
        <w:t>o</w:t>
      </w:r>
      <w:r>
        <w:t xml:space="preserve"> gráfico 7 aponta para uma situação que coloca em </w:t>
      </w:r>
      <w:r w:rsidR="00D9511D">
        <w:t>necessidade de verificação</w:t>
      </w:r>
      <w:r>
        <w:t xml:space="preserve"> os números de anos anteriores</w:t>
      </w:r>
      <w:r w:rsidR="00D9511D">
        <w:t xml:space="preserve">, necessitando para tanto, </w:t>
      </w:r>
      <w:r>
        <w:t>um estudo mais acurado para identificação destas divergências.</w:t>
      </w:r>
    </w:p>
    <w:p w:rsidR="009B2FE8" w:rsidRDefault="009B2FE8" w:rsidP="00D9511D">
      <w:pPr>
        <w:spacing w:after="0" w:line="360" w:lineRule="auto"/>
        <w:ind w:firstLine="709"/>
        <w:jc w:val="both"/>
      </w:pPr>
      <w:r>
        <w:t xml:space="preserve">Já </w:t>
      </w:r>
      <w:r w:rsidR="00EE609B">
        <w:t>d</w:t>
      </w:r>
      <w:r>
        <w:t>o item 6 em diante, debruça-se</w:t>
      </w:r>
      <w:r w:rsidR="00EE609B">
        <w:t xml:space="preserve"> o Parecer</w:t>
      </w:r>
      <w:r>
        <w:t xml:space="preserve"> sobre os dados financeiros e contábeis, ao analisar a inadimplência (</w:t>
      </w:r>
      <w:r w:rsidR="00EE609B">
        <w:t>q</w:t>
      </w:r>
      <w:r>
        <w:t>uadro 14</w:t>
      </w:r>
      <w:r w:rsidR="008E5EA3">
        <w:t>), o</w:t>
      </w:r>
      <w:r>
        <w:t xml:space="preserve"> orçamento público (quadro 15) </w:t>
      </w:r>
      <w:r w:rsidR="008E5EA3">
        <w:t>e o</w:t>
      </w:r>
      <w:r>
        <w:t xml:space="preserve"> resultado patrimonial (quadro 16)</w:t>
      </w:r>
      <w:r w:rsidR="00EE609B">
        <w:t>,</w:t>
      </w:r>
      <w:r>
        <w:t xml:space="preserve"> que aponta para a existência de um </w:t>
      </w:r>
      <w:r w:rsidRPr="00B7065E">
        <w:t>superávit financeiro de R$ 4.684.588,00 (quatro milhões, seiscentos e oitenta e quat</w:t>
      </w:r>
      <w:r>
        <w:t>r</w:t>
      </w:r>
      <w:r w:rsidRPr="00B7065E">
        <w:t>o mil, quinhentos e oitenta e oito reais)</w:t>
      </w:r>
      <w:r>
        <w:t>.</w:t>
      </w:r>
      <w:r w:rsidR="00673238">
        <w:t xml:space="preserve"> Também o </w:t>
      </w:r>
      <w:r w:rsidR="00631FCE">
        <w:t>referido Parecer Administrativo</w:t>
      </w:r>
      <w:r w:rsidR="00673238">
        <w:t xml:space="preserve"> deita o seu olhar sobre a dívida ativa, a dívida fundada, o </w:t>
      </w:r>
      <w:r w:rsidR="002053D8">
        <w:t>estoque e o fluxo de caixa. Deté</w:t>
      </w:r>
      <w:r w:rsidR="00673238">
        <w:t>m-se ainda, sobre os custos, a sua composição e os reajuste</w:t>
      </w:r>
      <w:r w:rsidR="002053D8">
        <w:t>s já concedidos</w:t>
      </w:r>
      <w:r w:rsidR="00631FCE">
        <w:t xml:space="preserve">, fazendo inclusive </w:t>
      </w:r>
      <w:r w:rsidR="002053D8">
        <w:t xml:space="preserve">simulações sobre os resultados de água e esgoto da </w:t>
      </w:r>
      <w:r w:rsidR="00631FCE">
        <w:t>A</w:t>
      </w:r>
      <w:r w:rsidR="002053D8">
        <w:t>utarquia SAMAE</w:t>
      </w:r>
      <w:r w:rsidR="00631FCE">
        <w:t xml:space="preserve"> de Timbó</w:t>
      </w:r>
      <w:r w:rsidR="002053D8">
        <w:t xml:space="preserve">, informando que ao final do exercício de 2018, deverá haver um saldo positivo, que assim é explicitado naquele </w:t>
      </w:r>
      <w:r w:rsidR="00631FCE">
        <w:t>P</w:t>
      </w:r>
      <w:r w:rsidR="002053D8">
        <w:t>arecer:</w:t>
      </w:r>
    </w:p>
    <w:p w:rsidR="002053D8" w:rsidRPr="00631FCE" w:rsidRDefault="002053D8" w:rsidP="00631FCE">
      <w:pPr>
        <w:suppressAutoHyphens/>
        <w:spacing w:after="0" w:line="240" w:lineRule="auto"/>
        <w:ind w:left="2268"/>
        <w:jc w:val="both"/>
        <w:rPr>
          <w:bCs/>
          <w:sz w:val="22"/>
          <w:szCs w:val="22"/>
        </w:rPr>
      </w:pPr>
      <w:r w:rsidRPr="00631FCE">
        <w:rPr>
          <w:bCs/>
          <w:sz w:val="22"/>
          <w:szCs w:val="22"/>
        </w:rPr>
        <w:t>Ao final do cálculo podemos verificar que o resultado em 2018 será de R$ 813.154,00 (oitocentos e treze mil cento e cinquenta e quatro reais) somado ao superávit financeiro de 2017 de R$ 4.684.588,00 (quatro milhões seiscentos e oitenta e quatro mil quinhentos e oitenta e oito reais) conforme Quadro 16, totalizará R$ 5.497.742,00 (cinco milhões quatrocentos e noventa e sete mil, setecentos e quarenta e dois reais</w:t>
      </w:r>
      <w:r w:rsidR="008E5EA3" w:rsidRPr="00631FCE">
        <w:rPr>
          <w:bCs/>
          <w:sz w:val="22"/>
          <w:szCs w:val="22"/>
        </w:rPr>
        <w:t>).</w:t>
      </w:r>
    </w:p>
    <w:p w:rsidR="005377FC" w:rsidRDefault="005377FC" w:rsidP="002053D8">
      <w:pPr>
        <w:suppressAutoHyphens/>
        <w:spacing w:after="0" w:line="360" w:lineRule="auto"/>
        <w:ind w:left="1701"/>
        <w:jc w:val="both"/>
        <w:rPr>
          <w:bCs/>
          <w:i/>
        </w:rPr>
      </w:pPr>
    </w:p>
    <w:p w:rsidR="005C1522" w:rsidRDefault="005C1522" w:rsidP="005C1522">
      <w:pPr>
        <w:suppressAutoHyphens/>
        <w:spacing w:after="0" w:line="360" w:lineRule="auto"/>
        <w:ind w:firstLine="709"/>
        <w:jc w:val="both"/>
        <w:rPr>
          <w:bCs/>
        </w:rPr>
      </w:pPr>
      <w:r>
        <w:rPr>
          <w:bCs/>
        </w:rPr>
        <w:t>Ao final, analisadas todas essas condicionantes, entende</w:t>
      </w:r>
      <w:r w:rsidR="00631FCE">
        <w:rPr>
          <w:bCs/>
        </w:rPr>
        <w:t>-se que</w:t>
      </w:r>
      <w:r>
        <w:rPr>
          <w:bCs/>
        </w:rPr>
        <w:t xml:space="preserve">, para segurança da entidade, </w:t>
      </w:r>
      <w:r w:rsidR="00631FCE">
        <w:rPr>
          <w:bCs/>
        </w:rPr>
        <w:t xml:space="preserve">para </w:t>
      </w:r>
      <w:r>
        <w:rPr>
          <w:bCs/>
        </w:rPr>
        <w:t xml:space="preserve">a necessidade de investimentos urgentes, bem como, nesse mesmo contexto, </w:t>
      </w:r>
      <w:r w:rsidR="00631FCE">
        <w:rPr>
          <w:bCs/>
        </w:rPr>
        <w:t xml:space="preserve">para </w:t>
      </w:r>
      <w:r>
        <w:rPr>
          <w:bCs/>
        </w:rPr>
        <w:t xml:space="preserve">oferecer aos usuários a modicidade tarifária, opina pela aplicação do </w:t>
      </w:r>
      <w:r w:rsidR="00D8222E">
        <w:rPr>
          <w:bCs/>
        </w:rPr>
        <w:t xml:space="preserve">Índice Nacional de Preços </w:t>
      </w:r>
      <w:r w:rsidR="00D8222E">
        <w:rPr>
          <w:bCs/>
        </w:rPr>
        <w:lastRenderedPageBreak/>
        <w:t xml:space="preserve">ao Consumidor Amplo – </w:t>
      </w:r>
      <w:r>
        <w:rPr>
          <w:bCs/>
        </w:rPr>
        <w:t>INPC de abril/2017 a abril/2018, totalizando treze (13) meses</w:t>
      </w:r>
      <w:r w:rsidR="00631FCE">
        <w:rPr>
          <w:bCs/>
        </w:rPr>
        <w:t xml:space="preserve"> (visando alinhar a data-base, a qual deverá ser mantida para os próximos pleitos tarifários), </w:t>
      </w:r>
      <w:r>
        <w:rPr>
          <w:bCs/>
        </w:rPr>
        <w:t>conforme o quadro abaixo:</w:t>
      </w:r>
    </w:p>
    <w:p w:rsidR="005C1522" w:rsidRDefault="005C1522" w:rsidP="005C1522">
      <w:pPr>
        <w:suppressAutoHyphens/>
        <w:spacing w:after="0" w:line="360" w:lineRule="auto"/>
        <w:ind w:firstLine="709"/>
        <w:jc w:val="both"/>
        <w:rPr>
          <w:b/>
        </w:rPr>
      </w:pPr>
    </w:p>
    <w:p w:rsidR="005C1522" w:rsidRPr="001109DD" w:rsidRDefault="00631FCE" w:rsidP="00631FCE">
      <w:pPr>
        <w:spacing w:after="0" w:line="240" w:lineRule="auto"/>
        <w:rPr>
          <w:szCs w:val="20"/>
        </w:rPr>
      </w:pPr>
      <w:r>
        <w:rPr>
          <w:b/>
        </w:rPr>
        <w:t xml:space="preserve">Quadro 1 - </w:t>
      </w:r>
      <w:r w:rsidR="005C1522" w:rsidRPr="001109DD">
        <w:rPr>
          <w:b/>
        </w:rPr>
        <w:t>Evolução do INPC</w:t>
      </w:r>
      <w:r w:rsidR="005C1522">
        <w:rPr>
          <w:b/>
        </w:rPr>
        <w:t xml:space="preserve"> de</w:t>
      </w:r>
      <w:r w:rsidR="005C1522" w:rsidRPr="001109DD">
        <w:rPr>
          <w:b/>
        </w:rPr>
        <w:t xml:space="preserve"> </w:t>
      </w:r>
      <w:r w:rsidR="005C1522">
        <w:rPr>
          <w:b/>
        </w:rPr>
        <w:t>abril</w:t>
      </w:r>
      <w:r w:rsidR="005C1522" w:rsidRPr="001109DD">
        <w:rPr>
          <w:b/>
        </w:rPr>
        <w:t>/201</w:t>
      </w:r>
      <w:r w:rsidR="005C1522">
        <w:rPr>
          <w:b/>
        </w:rPr>
        <w:t>7</w:t>
      </w:r>
      <w:r w:rsidR="005C1522" w:rsidRPr="001109DD">
        <w:rPr>
          <w:b/>
        </w:rPr>
        <w:t xml:space="preserve"> a </w:t>
      </w:r>
      <w:r w:rsidR="005C1522">
        <w:rPr>
          <w:b/>
        </w:rPr>
        <w:t>abril</w:t>
      </w:r>
      <w:r w:rsidR="005C1522" w:rsidRPr="001109DD">
        <w:rPr>
          <w:b/>
        </w:rPr>
        <w:t>/201</w:t>
      </w:r>
      <w:r w:rsidR="005C1522">
        <w:rPr>
          <w:b/>
        </w:rPr>
        <w:t>8</w:t>
      </w:r>
      <w:r w:rsidR="005C1522" w:rsidRPr="001109DD">
        <w:rPr>
          <w:b/>
        </w:rPr>
        <w:t>.</w:t>
      </w:r>
    </w:p>
    <w:tbl>
      <w:tblPr>
        <w:tblpPr w:leftFromText="141" w:rightFromText="141" w:vertAnchor="text" w:horzAnchor="margin" w:tblpY="10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1220"/>
        <w:gridCol w:w="2994"/>
        <w:gridCol w:w="1328"/>
        <w:gridCol w:w="1584"/>
      </w:tblGrid>
      <w:tr w:rsidR="005C1522" w:rsidRPr="001109DD" w:rsidTr="00631FC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0066CC"/>
              <w:left w:val="single" w:sz="4" w:space="0" w:color="0066CC"/>
              <w:bottom w:val="nil"/>
              <w:right w:val="single" w:sz="4" w:space="0" w:color="0066CC"/>
            </w:tcBorders>
            <w:shd w:val="clear" w:color="auto" w:fill="00B0F0"/>
          </w:tcPr>
          <w:p w:rsidR="005C1522" w:rsidRPr="001109DD" w:rsidRDefault="005C1522" w:rsidP="005C1522">
            <w:pPr>
              <w:spacing w:after="0" w:line="240" w:lineRule="auto"/>
              <w:jc w:val="center"/>
              <w:rPr>
                <w:b/>
                <w:bCs/>
                <w:color w:val="000080"/>
                <w:sz w:val="27"/>
                <w:szCs w:val="27"/>
              </w:rPr>
            </w:pPr>
          </w:p>
          <w:p w:rsidR="005C1522" w:rsidRPr="001109DD" w:rsidRDefault="005C1522" w:rsidP="005C1522">
            <w:pPr>
              <w:spacing w:after="0" w:line="240" w:lineRule="auto"/>
              <w:jc w:val="center"/>
              <w:rPr>
                <w:b/>
                <w:bCs/>
                <w:color w:val="FFFFFF"/>
                <w:sz w:val="27"/>
                <w:szCs w:val="27"/>
              </w:rPr>
            </w:pPr>
            <w:r w:rsidRPr="001109DD">
              <w:rPr>
                <w:b/>
                <w:bCs/>
                <w:color w:val="FFFFFF"/>
                <w:sz w:val="27"/>
                <w:szCs w:val="27"/>
              </w:rPr>
              <w:t>ÍNDICE NACIONAL DE PREÇOS AO CONSUMIDOR – INPC</w:t>
            </w:r>
          </w:p>
          <w:p w:rsidR="005C1522" w:rsidRPr="001109DD" w:rsidRDefault="005C1522" w:rsidP="005C1522">
            <w:pPr>
              <w:spacing w:after="0" w:line="240" w:lineRule="auto"/>
              <w:jc w:val="center"/>
              <w:rPr>
                <w:b/>
                <w:bCs/>
                <w:color w:val="000080"/>
                <w:sz w:val="27"/>
                <w:szCs w:val="27"/>
              </w:rPr>
            </w:pPr>
          </w:p>
        </w:tc>
      </w:tr>
      <w:tr w:rsidR="005C1522" w:rsidRPr="001109DD" w:rsidTr="00631FC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66CC"/>
              <w:left w:val="single" w:sz="4" w:space="0" w:color="0066CC"/>
              <w:bottom w:val="nil"/>
              <w:right w:val="single" w:sz="4" w:space="0" w:color="0066CC"/>
            </w:tcBorders>
            <w:shd w:val="clear" w:color="auto" w:fill="00B0F0"/>
          </w:tcPr>
          <w:p w:rsidR="005C1522" w:rsidRPr="001109DD" w:rsidRDefault="005C1522" w:rsidP="005C15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109DD">
              <w:rPr>
                <w:b/>
                <w:bCs/>
                <w:color w:val="FFFFFF"/>
                <w:sz w:val="20"/>
                <w:szCs w:val="20"/>
              </w:rPr>
              <w:t>Mês/ano</w:t>
            </w:r>
          </w:p>
        </w:tc>
        <w:tc>
          <w:tcPr>
            <w:tcW w:w="0" w:type="auto"/>
            <w:tcBorders>
              <w:top w:val="single" w:sz="4" w:space="0" w:color="0066CC"/>
              <w:left w:val="nil"/>
              <w:bottom w:val="nil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5C1522" w:rsidRPr="001109DD" w:rsidRDefault="005C1522" w:rsidP="005C152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9DD">
              <w:rPr>
                <w:b/>
                <w:bCs/>
                <w:color w:val="FFFFFF"/>
                <w:sz w:val="20"/>
                <w:szCs w:val="20"/>
              </w:rPr>
              <w:t>Índice do mês (em %)</w:t>
            </w:r>
          </w:p>
        </w:tc>
        <w:tc>
          <w:tcPr>
            <w:tcW w:w="0" w:type="auto"/>
            <w:tcBorders>
              <w:top w:val="single" w:sz="4" w:space="0" w:color="0066CC"/>
              <w:left w:val="nil"/>
              <w:bottom w:val="nil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5C1522" w:rsidRPr="001109DD" w:rsidRDefault="005C1522" w:rsidP="005C15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109DD">
              <w:rPr>
                <w:b/>
                <w:bCs/>
                <w:color w:val="FFFFFF"/>
                <w:sz w:val="20"/>
                <w:szCs w:val="20"/>
              </w:rPr>
              <w:t>Índice</w:t>
            </w:r>
          </w:p>
        </w:tc>
        <w:tc>
          <w:tcPr>
            <w:tcW w:w="0" w:type="auto"/>
            <w:tcBorders>
              <w:top w:val="single" w:sz="4" w:space="0" w:color="0066CC"/>
              <w:left w:val="nil"/>
              <w:bottom w:val="nil"/>
              <w:right w:val="single" w:sz="4" w:space="0" w:color="0066CC"/>
            </w:tcBorders>
            <w:shd w:val="clear" w:color="auto" w:fill="00B0F0"/>
            <w:vAlign w:val="center"/>
          </w:tcPr>
          <w:p w:rsidR="005C1522" w:rsidRPr="001109DD" w:rsidRDefault="005C1522" w:rsidP="005C15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109DD">
              <w:rPr>
                <w:b/>
                <w:bCs/>
                <w:color w:val="FFFFFF"/>
                <w:sz w:val="20"/>
                <w:szCs w:val="20"/>
              </w:rPr>
              <w:t>Percentual</w:t>
            </w:r>
          </w:p>
        </w:tc>
      </w:tr>
      <w:tr w:rsidR="005C1522" w:rsidRPr="001109DD" w:rsidTr="00631FCE">
        <w:trPr>
          <w:trHeight w:val="85"/>
        </w:trPr>
        <w:tc>
          <w:tcPr>
            <w:tcW w:w="0" w:type="auto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</w:tcPr>
          <w:p w:rsidR="005C1522" w:rsidRDefault="005C1522" w:rsidP="005C15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</w:tcPr>
          <w:p w:rsidR="005C1522" w:rsidRPr="001109DD" w:rsidRDefault="005C1522" w:rsidP="005C15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abr</w:t>
            </w:r>
            <w:r w:rsidRPr="001109DD">
              <w:rPr>
                <w:b/>
                <w:bCs/>
                <w:color w:val="FFFFFF"/>
                <w:sz w:val="20"/>
                <w:szCs w:val="20"/>
              </w:rPr>
              <w:t>/1</w:t>
            </w:r>
            <w:r>
              <w:rPr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66CC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</w:tcPr>
          <w:p w:rsidR="005C1522" w:rsidRPr="001109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66CC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</w:tcPr>
          <w:p w:rsidR="005C1522" w:rsidRPr="003726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1,000800</w:t>
            </w:r>
          </w:p>
        </w:tc>
        <w:tc>
          <w:tcPr>
            <w:tcW w:w="0" w:type="auto"/>
            <w:tcBorders>
              <w:top w:val="single" w:sz="4" w:space="0" w:color="0066CC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5C1522" w:rsidRPr="003726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0,080000</w:t>
            </w:r>
          </w:p>
        </w:tc>
      </w:tr>
      <w:tr w:rsidR="005C1522" w:rsidRPr="001109DD" w:rsidTr="00631FCE">
        <w:trPr>
          <w:trHeight w:val="118"/>
        </w:trPr>
        <w:tc>
          <w:tcPr>
            <w:tcW w:w="0" w:type="auto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</w:tcPr>
          <w:p w:rsidR="005C1522" w:rsidRDefault="005C1522" w:rsidP="005C15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</w:tcPr>
          <w:p w:rsidR="005C1522" w:rsidRPr="001109DD" w:rsidRDefault="005C1522" w:rsidP="005C15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maio</w:t>
            </w:r>
            <w:r w:rsidRPr="001109DD">
              <w:rPr>
                <w:b/>
                <w:bCs/>
                <w:color w:val="FFFFFF"/>
                <w:sz w:val="20"/>
                <w:szCs w:val="20"/>
              </w:rPr>
              <w:t>/1</w:t>
            </w:r>
            <w:r>
              <w:rPr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66CC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</w:tcPr>
          <w:p w:rsidR="005C1522" w:rsidRPr="001109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tcBorders>
              <w:top w:val="single" w:sz="4" w:space="0" w:color="0066CC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</w:tcPr>
          <w:p w:rsidR="005C1522" w:rsidRPr="003726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1,004403</w:t>
            </w:r>
          </w:p>
        </w:tc>
        <w:tc>
          <w:tcPr>
            <w:tcW w:w="0" w:type="auto"/>
            <w:tcBorders>
              <w:top w:val="single" w:sz="4" w:space="0" w:color="0066CC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5C1522" w:rsidRPr="003726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0,440288</w:t>
            </w:r>
          </w:p>
        </w:tc>
      </w:tr>
      <w:tr w:rsidR="005C1522" w:rsidRPr="001109DD" w:rsidTr="00631FCE">
        <w:trPr>
          <w:trHeight w:val="56"/>
        </w:trPr>
        <w:tc>
          <w:tcPr>
            <w:tcW w:w="0" w:type="auto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</w:tcPr>
          <w:p w:rsidR="005C1522" w:rsidRDefault="005C1522" w:rsidP="005C15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5C1522" w:rsidRPr="001109DD" w:rsidRDefault="005C1522" w:rsidP="005C15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jun</w:t>
            </w:r>
            <w:r w:rsidRPr="001109DD">
              <w:rPr>
                <w:b/>
                <w:bCs/>
                <w:color w:val="FFFFFF"/>
                <w:sz w:val="20"/>
                <w:szCs w:val="20"/>
              </w:rPr>
              <w:t>/1</w:t>
            </w:r>
            <w:r>
              <w:rPr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66CC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</w:tcPr>
          <w:p w:rsidR="005C1522" w:rsidRPr="001109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-0,3</w:t>
            </w:r>
          </w:p>
        </w:tc>
        <w:tc>
          <w:tcPr>
            <w:tcW w:w="0" w:type="auto"/>
            <w:tcBorders>
              <w:top w:val="single" w:sz="4" w:space="0" w:color="0066CC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</w:tcPr>
          <w:p w:rsidR="005C1522" w:rsidRPr="003726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1,001390</w:t>
            </w:r>
          </w:p>
        </w:tc>
        <w:tc>
          <w:tcPr>
            <w:tcW w:w="0" w:type="auto"/>
            <w:tcBorders>
              <w:top w:val="single" w:sz="4" w:space="0" w:color="0066CC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5C1522" w:rsidRPr="003726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0,138967</w:t>
            </w:r>
          </w:p>
        </w:tc>
      </w:tr>
      <w:tr w:rsidR="005C1522" w:rsidRPr="001109DD" w:rsidTr="00631FCE">
        <w:trPr>
          <w:trHeight w:val="56"/>
        </w:trPr>
        <w:tc>
          <w:tcPr>
            <w:tcW w:w="0" w:type="auto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</w:tcPr>
          <w:p w:rsidR="005C1522" w:rsidRDefault="005C1522" w:rsidP="005C15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5C1522" w:rsidRPr="001109DD" w:rsidRDefault="005C1522" w:rsidP="005C15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jul</w:t>
            </w:r>
            <w:r w:rsidRPr="001109DD">
              <w:rPr>
                <w:b/>
                <w:bCs/>
                <w:color w:val="FFFFFF"/>
                <w:sz w:val="20"/>
                <w:szCs w:val="20"/>
              </w:rPr>
              <w:t>/1</w:t>
            </w:r>
            <w:r>
              <w:rPr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</w:tcPr>
          <w:p w:rsidR="005C1522" w:rsidRPr="001109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</w:tcPr>
          <w:p w:rsidR="005C1522" w:rsidRPr="003726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1,003092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5C1522" w:rsidRPr="003726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0,309203</w:t>
            </w:r>
          </w:p>
        </w:tc>
      </w:tr>
      <w:tr w:rsidR="005C1522" w:rsidRPr="001109DD" w:rsidTr="00631FCE">
        <w:trPr>
          <w:trHeight w:val="56"/>
        </w:trPr>
        <w:tc>
          <w:tcPr>
            <w:tcW w:w="0" w:type="auto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</w:tcPr>
          <w:p w:rsidR="005C1522" w:rsidRDefault="005C1522" w:rsidP="005C15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5C1522" w:rsidRPr="001109DD" w:rsidRDefault="005C1522" w:rsidP="005C15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ago</w:t>
            </w:r>
            <w:r w:rsidRPr="001109DD">
              <w:rPr>
                <w:b/>
                <w:bCs/>
                <w:color w:val="FFFFFF"/>
                <w:sz w:val="20"/>
                <w:szCs w:val="20"/>
              </w:rPr>
              <w:t>/1</w:t>
            </w:r>
            <w:r>
              <w:rPr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</w:tcPr>
          <w:p w:rsidR="005C1522" w:rsidRPr="001109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</w:tcPr>
          <w:p w:rsidR="005C1522" w:rsidRPr="003726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1,002791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5C1522" w:rsidRPr="003726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0,279111</w:t>
            </w:r>
          </w:p>
        </w:tc>
      </w:tr>
      <w:tr w:rsidR="005C1522" w:rsidRPr="001109DD" w:rsidTr="00631FCE">
        <w:trPr>
          <w:trHeight w:val="56"/>
        </w:trPr>
        <w:tc>
          <w:tcPr>
            <w:tcW w:w="0" w:type="auto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</w:tcPr>
          <w:p w:rsidR="005C1522" w:rsidRDefault="005C1522" w:rsidP="005C15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5C1522" w:rsidRPr="001109DD" w:rsidRDefault="005C1522" w:rsidP="005C15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set</w:t>
            </w:r>
            <w:r w:rsidRPr="001109DD">
              <w:rPr>
                <w:b/>
                <w:bCs/>
                <w:color w:val="FFFFFF"/>
                <w:sz w:val="20"/>
                <w:szCs w:val="20"/>
              </w:rPr>
              <w:t>/1</w:t>
            </w:r>
            <w:r>
              <w:rPr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</w:tcPr>
          <w:p w:rsidR="005C1522" w:rsidRPr="001109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</w:tcPr>
          <w:p w:rsidR="005C1522" w:rsidRPr="003726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1,002591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5C1522" w:rsidRPr="003726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0,259055</w:t>
            </w:r>
          </w:p>
        </w:tc>
      </w:tr>
      <w:tr w:rsidR="005C1522" w:rsidRPr="001109DD" w:rsidTr="00631FCE">
        <w:trPr>
          <w:trHeight w:val="65"/>
        </w:trPr>
        <w:tc>
          <w:tcPr>
            <w:tcW w:w="0" w:type="auto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</w:tcPr>
          <w:p w:rsidR="005C1522" w:rsidRDefault="005C1522" w:rsidP="005C15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5C1522" w:rsidRPr="001109DD" w:rsidRDefault="005C1522" w:rsidP="005C15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out</w:t>
            </w:r>
            <w:r w:rsidRPr="001109DD">
              <w:rPr>
                <w:b/>
                <w:bCs/>
                <w:color w:val="FFFFFF"/>
                <w:sz w:val="20"/>
                <w:szCs w:val="20"/>
              </w:rPr>
              <w:t>/1</w:t>
            </w:r>
            <w:r>
              <w:rPr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</w:tcPr>
          <w:p w:rsidR="005C1522" w:rsidRPr="001109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</w:tcPr>
          <w:p w:rsidR="005C1522" w:rsidRPr="003726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1,006300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5C1522" w:rsidRPr="003726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0,630013</w:t>
            </w:r>
          </w:p>
        </w:tc>
      </w:tr>
      <w:tr w:rsidR="005C1522" w:rsidRPr="001109DD" w:rsidTr="00631FCE">
        <w:trPr>
          <w:trHeight w:val="56"/>
        </w:trPr>
        <w:tc>
          <w:tcPr>
            <w:tcW w:w="0" w:type="auto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</w:tcPr>
          <w:p w:rsidR="005C1522" w:rsidRDefault="005C1522" w:rsidP="005C15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5C1522" w:rsidRPr="001109DD" w:rsidRDefault="005C1522" w:rsidP="005C15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nov</w:t>
            </w:r>
            <w:r w:rsidRPr="001109DD">
              <w:rPr>
                <w:b/>
                <w:bCs/>
                <w:color w:val="FFFFFF"/>
                <w:sz w:val="20"/>
                <w:szCs w:val="20"/>
              </w:rPr>
              <w:t>/1</w:t>
            </w:r>
            <w:r>
              <w:rPr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</w:tcPr>
          <w:p w:rsidR="005C1522" w:rsidRPr="001109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</w:tcPr>
          <w:p w:rsidR="005C1522" w:rsidRPr="003726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1,008111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5C1522" w:rsidRPr="003726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0,811147</w:t>
            </w:r>
          </w:p>
        </w:tc>
      </w:tr>
      <w:tr w:rsidR="005C1522" w:rsidRPr="001109DD" w:rsidTr="00631FCE">
        <w:trPr>
          <w:trHeight w:val="115"/>
        </w:trPr>
        <w:tc>
          <w:tcPr>
            <w:tcW w:w="0" w:type="auto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</w:tcPr>
          <w:p w:rsidR="005C1522" w:rsidRDefault="005C1522" w:rsidP="005C15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5C1522" w:rsidRPr="001109DD" w:rsidRDefault="005C1522" w:rsidP="005C15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dez</w:t>
            </w:r>
            <w:r w:rsidRPr="001109DD">
              <w:rPr>
                <w:b/>
                <w:bCs/>
                <w:color w:val="FFFFFF"/>
                <w:sz w:val="20"/>
                <w:szCs w:val="20"/>
              </w:rPr>
              <w:t>/1</w:t>
            </w:r>
            <w:r>
              <w:rPr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</w:tcPr>
          <w:p w:rsidR="005C1522" w:rsidRPr="001109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</w:tcPr>
          <w:p w:rsidR="005C1522" w:rsidRPr="003726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1,010733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5C1522" w:rsidRPr="003726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1,073256</w:t>
            </w:r>
          </w:p>
        </w:tc>
      </w:tr>
      <w:tr w:rsidR="005C1522" w:rsidRPr="001109DD" w:rsidTr="00631FCE">
        <w:trPr>
          <w:trHeight w:val="133"/>
        </w:trPr>
        <w:tc>
          <w:tcPr>
            <w:tcW w:w="0" w:type="auto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</w:tcPr>
          <w:p w:rsidR="005C1522" w:rsidRDefault="005C1522" w:rsidP="005C15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5C1522" w:rsidRPr="001109DD" w:rsidRDefault="005C1522" w:rsidP="005C15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jan</w:t>
            </w:r>
            <w:r w:rsidRPr="001109DD">
              <w:rPr>
                <w:b/>
                <w:bCs/>
                <w:color w:val="FFFFFF"/>
                <w:sz w:val="20"/>
                <w:szCs w:val="20"/>
              </w:rPr>
              <w:t>/1</w:t>
            </w:r>
            <w:r>
              <w:rPr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</w:tcPr>
          <w:p w:rsidR="005C1522" w:rsidRPr="001109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</w:tcPr>
          <w:p w:rsidR="005C1522" w:rsidRPr="003726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1,013057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5C1522" w:rsidRPr="003726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1,305725</w:t>
            </w:r>
          </w:p>
        </w:tc>
      </w:tr>
      <w:tr w:rsidR="005C1522" w:rsidRPr="001109DD" w:rsidTr="00631FCE">
        <w:trPr>
          <w:trHeight w:val="101"/>
        </w:trPr>
        <w:tc>
          <w:tcPr>
            <w:tcW w:w="0" w:type="auto"/>
            <w:tcBorders>
              <w:top w:val="nil"/>
              <w:left w:val="single" w:sz="4" w:space="0" w:color="0066CC"/>
              <w:bottom w:val="single" w:sz="4" w:space="0" w:color="auto"/>
              <w:right w:val="single" w:sz="4" w:space="0" w:color="0066CC"/>
            </w:tcBorders>
            <w:shd w:val="clear" w:color="auto" w:fill="00B0F0"/>
          </w:tcPr>
          <w:p w:rsidR="005C1522" w:rsidRDefault="005C1522" w:rsidP="005C15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66CC"/>
              <w:bottom w:val="single" w:sz="4" w:space="0" w:color="auto"/>
              <w:right w:val="single" w:sz="4" w:space="0" w:color="0066CC"/>
            </w:tcBorders>
            <w:shd w:val="clear" w:color="auto" w:fill="00B0F0"/>
            <w:vAlign w:val="center"/>
          </w:tcPr>
          <w:p w:rsidR="005C1522" w:rsidRPr="001109DD" w:rsidRDefault="005C1522" w:rsidP="005C15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fev</w:t>
            </w:r>
            <w:r w:rsidRPr="001109DD">
              <w:rPr>
                <w:b/>
                <w:bCs/>
                <w:color w:val="FFFFFF"/>
                <w:sz w:val="20"/>
                <w:szCs w:val="20"/>
              </w:rPr>
              <w:t>/1</w:t>
            </w:r>
            <w:r>
              <w:rPr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66CC"/>
            </w:tcBorders>
            <w:shd w:val="clear" w:color="000000" w:fill="FFFFFF"/>
            <w:vAlign w:val="center"/>
          </w:tcPr>
          <w:p w:rsidR="005C1522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66CC"/>
            </w:tcBorders>
            <w:shd w:val="clear" w:color="auto" w:fill="auto"/>
            <w:noWrap/>
            <w:vAlign w:val="bottom"/>
          </w:tcPr>
          <w:p w:rsidR="005C1522" w:rsidRPr="003726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1,014881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66CC"/>
            </w:tcBorders>
            <w:vAlign w:val="bottom"/>
          </w:tcPr>
          <w:p w:rsidR="005C1522" w:rsidRPr="003726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1,488075</w:t>
            </w:r>
          </w:p>
        </w:tc>
      </w:tr>
      <w:tr w:rsidR="005C1522" w:rsidRPr="001109DD" w:rsidTr="00631FCE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C1522" w:rsidRDefault="005C1522" w:rsidP="005C15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C1522" w:rsidRPr="001109DD" w:rsidRDefault="005C1522" w:rsidP="005C15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mar</w:t>
            </w:r>
            <w:r w:rsidRPr="001109DD">
              <w:rPr>
                <w:b/>
                <w:bCs/>
                <w:color w:val="FFFFFF"/>
                <w:sz w:val="20"/>
                <w:szCs w:val="20"/>
              </w:rPr>
              <w:t>/1</w:t>
            </w:r>
            <w:r>
              <w:rPr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522" w:rsidRPr="001109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522" w:rsidRPr="003726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1,015591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522" w:rsidRPr="003726DD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1,559117</w:t>
            </w:r>
          </w:p>
        </w:tc>
      </w:tr>
      <w:tr w:rsidR="005C1522" w:rsidRPr="001109DD" w:rsidTr="00631FCE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C1522" w:rsidRDefault="005C1522" w:rsidP="005C15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C1522" w:rsidRDefault="005C1522" w:rsidP="005C15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Abr/18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522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522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1,017724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522" w:rsidRDefault="005C1522" w:rsidP="005C152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1,772391</w:t>
            </w:r>
          </w:p>
        </w:tc>
      </w:tr>
    </w:tbl>
    <w:p w:rsidR="005C1522" w:rsidRPr="002053D8" w:rsidRDefault="005C1522" w:rsidP="002053D8">
      <w:pPr>
        <w:suppressAutoHyphens/>
        <w:spacing w:after="0" w:line="360" w:lineRule="auto"/>
        <w:ind w:left="1701"/>
        <w:jc w:val="both"/>
        <w:rPr>
          <w:bCs/>
          <w:i/>
          <w:highlight w:val="yellow"/>
        </w:rPr>
      </w:pPr>
    </w:p>
    <w:p w:rsidR="002053D8" w:rsidRPr="00B7065E" w:rsidRDefault="002053D8" w:rsidP="009B2FE8">
      <w:pPr>
        <w:spacing w:after="0" w:line="360" w:lineRule="auto"/>
        <w:ind w:firstLine="709"/>
        <w:jc w:val="both"/>
      </w:pPr>
    </w:p>
    <w:p w:rsidR="005C1522" w:rsidRPr="00A2645F" w:rsidRDefault="005C1522" w:rsidP="00631FCE">
      <w:pPr>
        <w:spacing w:after="0" w:line="240" w:lineRule="auto"/>
        <w:ind w:right="1045"/>
        <w:rPr>
          <w:sz w:val="20"/>
          <w:szCs w:val="20"/>
        </w:rPr>
      </w:pPr>
      <w:r w:rsidRPr="00A2645F">
        <w:rPr>
          <w:bCs/>
          <w:sz w:val="20"/>
          <w:szCs w:val="20"/>
          <w:shd w:val="clear" w:color="auto" w:fill="FFFFFF"/>
        </w:rPr>
        <w:t>Fonte:</w:t>
      </w:r>
      <w:r w:rsidRPr="00A2645F">
        <w:rPr>
          <w:rStyle w:val="apple-converted-space"/>
          <w:bCs/>
          <w:sz w:val="20"/>
          <w:szCs w:val="20"/>
          <w:shd w:val="clear" w:color="auto" w:fill="FFFFFF"/>
        </w:rPr>
        <w:t xml:space="preserve"> Adaptado da </w:t>
      </w:r>
      <w:r w:rsidRPr="00A2645F">
        <w:rPr>
          <w:bCs/>
          <w:sz w:val="20"/>
          <w:szCs w:val="20"/>
          <w:shd w:val="clear" w:color="auto" w:fill="FFFFFF"/>
        </w:rPr>
        <w:t xml:space="preserve">Base de dados do IBGE, </w:t>
      </w:r>
      <w:r w:rsidRPr="00A2645F">
        <w:rPr>
          <w:sz w:val="20"/>
          <w:szCs w:val="20"/>
        </w:rPr>
        <w:t>Diretoria de Pesquisas, Coordenação de Índices de Preços, Sistema Nacional de Índices de Preços ao Consumidor.</w:t>
      </w:r>
      <w:r>
        <w:rPr>
          <w:sz w:val="20"/>
          <w:szCs w:val="20"/>
        </w:rPr>
        <w:t xml:space="preserve"> A</w:t>
      </w:r>
      <w:r w:rsidRPr="00A2645F">
        <w:rPr>
          <w:bCs/>
          <w:sz w:val="20"/>
          <w:szCs w:val="20"/>
          <w:shd w:val="clear" w:color="auto" w:fill="FFFFFF"/>
        </w:rPr>
        <w:t xml:space="preserve">cesso em: </w:t>
      </w:r>
      <w:r>
        <w:rPr>
          <w:bCs/>
          <w:sz w:val="20"/>
          <w:szCs w:val="20"/>
          <w:shd w:val="clear" w:color="auto" w:fill="FFFFFF"/>
        </w:rPr>
        <w:t>14</w:t>
      </w:r>
      <w:r w:rsidRPr="00A2645F">
        <w:rPr>
          <w:bCs/>
          <w:sz w:val="20"/>
          <w:szCs w:val="20"/>
          <w:shd w:val="clear" w:color="auto" w:fill="FFFFFF"/>
        </w:rPr>
        <w:t xml:space="preserve"> </w:t>
      </w:r>
      <w:r>
        <w:rPr>
          <w:bCs/>
          <w:sz w:val="20"/>
          <w:szCs w:val="20"/>
          <w:shd w:val="clear" w:color="auto" w:fill="FFFFFF"/>
        </w:rPr>
        <w:t>maio</w:t>
      </w:r>
      <w:r w:rsidRPr="00A2645F">
        <w:rPr>
          <w:bCs/>
          <w:sz w:val="20"/>
          <w:szCs w:val="20"/>
          <w:shd w:val="clear" w:color="auto" w:fill="FFFFFF"/>
        </w:rPr>
        <w:t>. 201</w:t>
      </w:r>
      <w:r>
        <w:rPr>
          <w:bCs/>
          <w:sz w:val="20"/>
          <w:szCs w:val="20"/>
          <w:shd w:val="clear" w:color="auto" w:fill="FFFFFF"/>
        </w:rPr>
        <w:t>8</w:t>
      </w:r>
      <w:r w:rsidRPr="00A2645F">
        <w:rPr>
          <w:bCs/>
          <w:sz w:val="20"/>
          <w:szCs w:val="20"/>
          <w:shd w:val="clear" w:color="auto" w:fill="FFFFFF"/>
        </w:rPr>
        <w:t>.</w:t>
      </w:r>
    </w:p>
    <w:p w:rsidR="005C1522" w:rsidRPr="005C1522" w:rsidRDefault="005C1522" w:rsidP="00780A8D">
      <w:pPr>
        <w:suppressAutoHyphens/>
        <w:spacing w:after="0" w:line="360" w:lineRule="auto"/>
        <w:ind w:firstLine="709"/>
        <w:jc w:val="both"/>
        <w:rPr>
          <w:bCs/>
        </w:rPr>
      </w:pPr>
    </w:p>
    <w:p w:rsidR="009B2FE8" w:rsidRDefault="005C1522" w:rsidP="00780A8D">
      <w:pPr>
        <w:pStyle w:val="PargrafodaLista"/>
        <w:spacing w:after="0" w:line="360" w:lineRule="auto"/>
        <w:ind w:left="0" w:firstLine="709"/>
        <w:jc w:val="both"/>
      </w:pPr>
      <w:r>
        <w:t>Além do percentual de 1,77%</w:t>
      </w:r>
      <w:r w:rsidR="0059473F">
        <w:t xml:space="preserve"> (</w:t>
      </w:r>
      <w:proofErr w:type="gramStart"/>
      <w:r w:rsidR="0059473F">
        <w:t>um vírgula</w:t>
      </w:r>
      <w:proofErr w:type="gramEnd"/>
      <w:r w:rsidR="0059473F">
        <w:t xml:space="preserve"> setenta e sete por cento)</w:t>
      </w:r>
      <w:r>
        <w:t xml:space="preserve">, recomenda aquele </w:t>
      </w:r>
      <w:r w:rsidR="0059473F">
        <w:t>P</w:t>
      </w:r>
      <w:r>
        <w:t xml:space="preserve">arecer, à título de recomposição </w:t>
      </w:r>
      <w:r w:rsidR="0059473F">
        <w:t>visando a</w:t>
      </w:r>
      <w:r>
        <w:t xml:space="preserve"> necessidade de investimentos, conceder mais um percentual de 2,00% (dois por cento), que então totalizará o índice de reajuste no montante de 3,77% (três virgula setenta e sete por cento).</w:t>
      </w:r>
      <w:r w:rsidR="00D339A3">
        <w:t xml:space="preserve"> Este o breve e necessário relatório:</w:t>
      </w:r>
    </w:p>
    <w:p w:rsidR="00D339A3" w:rsidRDefault="00D339A3" w:rsidP="00780A8D">
      <w:pPr>
        <w:pStyle w:val="PargrafodaLista"/>
        <w:spacing w:after="0" w:line="360" w:lineRule="auto"/>
        <w:ind w:left="0" w:firstLine="709"/>
        <w:jc w:val="both"/>
      </w:pPr>
    </w:p>
    <w:p w:rsidR="00D339A3" w:rsidRPr="00D339A3" w:rsidRDefault="00D339A3" w:rsidP="00780A8D">
      <w:pPr>
        <w:pStyle w:val="PargrafodaLista"/>
        <w:spacing w:after="0" w:line="360" w:lineRule="auto"/>
        <w:ind w:left="0"/>
        <w:jc w:val="both"/>
        <w:rPr>
          <w:b/>
        </w:rPr>
      </w:pPr>
      <w:r w:rsidRPr="00D339A3">
        <w:rPr>
          <w:b/>
        </w:rPr>
        <w:t>2 DECISÃO:</w:t>
      </w:r>
    </w:p>
    <w:p w:rsidR="00D339A3" w:rsidRDefault="00D339A3" w:rsidP="00780A8D">
      <w:pPr>
        <w:pStyle w:val="PargrafodaLista"/>
        <w:spacing w:after="0" w:line="360" w:lineRule="auto"/>
        <w:ind w:left="0" w:firstLine="709"/>
        <w:jc w:val="both"/>
      </w:pPr>
    </w:p>
    <w:p w:rsidR="00EA0AB8" w:rsidRDefault="00D339A3" w:rsidP="00780A8D">
      <w:pPr>
        <w:suppressAutoHyphens/>
        <w:spacing w:after="0" w:line="360" w:lineRule="auto"/>
        <w:ind w:firstLine="709"/>
        <w:jc w:val="both"/>
      </w:pPr>
      <w:r>
        <w:t xml:space="preserve">O Serviço Autônomo Municipal de Água e Esgoto de Timbó – SAMAE, </w:t>
      </w:r>
      <w:r w:rsidR="00EC4461">
        <w:t>A</w:t>
      </w:r>
      <w:r>
        <w:t xml:space="preserve">utarquia integrada à administração municipal de Timbó, em tempo hábil apresentou seu pedido de reajuste </w:t>
      </w:r>
      <w:r w:rsidR="00D8222E">
        <w:t>tarifário</w:t>
      </w:r>
      <w:r>
        <w:t>, junta</w:t>
      </w:r>
      <w:r w:rsidR="009A0591">
        <w:t>n</w:t>
      </w:r>
      <w:r>
        <w:t xml:space="preserve">do </w:t>
      </w:r>
      <w:r w:rsidR="00255410">
        <w:t xml:space="preserve">os </w:t>
      </w:r>
      <w:r>
        <w:t xml:space="preserve">documentos necessários e outros que foram solicitados no decorrer dos estudos para atender o pleito. Requereu a aplicação do INPC, mais um adicional de 4% (quatro por cento), sob a argumentação que tal índice seria necessário para possibilitar a </w:t>
      </w:r>
      <w:r>
        <w:lastRenderedPageBreak/>
        <w:t xml:space="preserve">realização dos investimentos </w:t>
      </w:r>
      <w:r w:rsidR="00E471E9">
        <w:t xml:space="preserve">apresentados como de </w:t>
      </w:r>
      <w:r w:rsidR="000D1796">
        <w:t>grande</w:t>
      </w:r>
      <w:r w:rsidR="00E471E9">
        <w:t xml:space="preserve"> importância, mas que não estão </w:t>
      </w:r>
      <w:r w:rsidR="008E5EA3">
        <w:t>previstos</w:t>
      </w:r>
      <w:r w:rsidR="00E471E9">
        <w:t xml:space="preserve"> no PMSB. </w:t>
      </w:r>
    </w:p>
    <w:p w:rsidR="00E471E9" w:rsidRPr="00E471E9" w:rsidRDefault="00EA0AB8" w:rsidP="00780A8D">
      <w:pPr>
        <w:suppressAutoHyphens/>
        <w:spacing w:after="0" w:line="360" w:lineRule="auto"/>
        <w:ind w:firstLine="709"/>
        <w:jc w:val="both"/>
        <w:rPr>
          <w:color w:val="9BBB59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Assim, a</w:t>
      </w:r>
      <w:r w:rsidR="00E471E9" w:rsidRPr="00E471E9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Agência Intermunicipal de Regulação, Controle e Fiscalização de Serviços Públicos Municipais do Médio Vale do Itajaí – AGIR, com amparo nos termos da Lei nº 11.445/2007, Decreto nº 7.217/2010 e, ainda em conformidade com o Novo Protocolo de Intenções da AGIR, por força da Lei nº 11.107/2005 e Decreto nº 6.017/07, e na legislação municipal aplicável, vem proferir a sua Decisão ao pedido de reajuste anual da tarifa de água e serviços prestados pelo Serviço Autônomo Municipal de Água e Esgoto de Timbó</w:t>
      </w:r>
      <w:r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– </w:t>
      </w:r>
      <w:r w:rsidR="00E471E9" w:rsidRPr="00E471E9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SAMAE.</w:t>
      </w:r>
    </w:p>
    <w:p w:rsidR="00D339A3" w:rsidRPr="00E471E9" w:rsidRDefault="00D339A3" w:rsidP="00780A8D">
      <w:pPr>
        <w:pStyle w:val="texto1"/>
        <w:spacing w:before="0" w:beforeAutospacing="0" w:after="0" w:afterAutospacing="0" w:line="360" w:lineRule="auto"/>
        <w:ind w:firstLine="527"/>
        <w:jc w:val="both"/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471E9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Considerando todo o exposto, a Decisão ora proferida atende, dentre outros objetivos, a definição da atualização da tarifa da água e dos serviços do SAMAE de </w:t>
      </w:r>
      <w:r w:rsidR="00E471E9" w:rsidRPr="00E471E9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Timbó</w:t>
      </w:r>
      <w:r w:rsidRPr="00E471E9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/SC, como previsto pela Lei nº 11.445, de 05 de janeiro de 2007 em artigo 22, inciso IV, que traz como objetivo da regulação: “definir tarifas que assegurem tanto o equilíbrio econômico e financeiro dos contratos como a modicidade tarifária, mediante mecanismos que induzam a eficiência e eficácia dos serviços e que permitam a apropriação social dos ganhos de produtividade”, bem como baseada no artigo 29, inciso I, o qual explicita que: </w:t>
      </w:r>
    </w:p>
    <w:p w:rsidR="00D339A3" w:rsidRPr="00E471E9" w:rsidRDefault="00D339A3" w:rsidP="005377FC">
      <w:pPr>
        <w:pStyle w:val="texto1"/>
        <w:spacing w:before="0" w:beforeAutospacing="0" w:after="0" w:afterAutospacing="0"/>
        <w:ind w:left="2268"/>
        <w:jc w:val="both"/>
        <w:rPr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471E9">
        <w:rPr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Art. 29.  Os serviços públicos de saneamento básico terão a sustentabilidade econômico-financeira assegurada, sempre que possível, mediante remuneração pela cobrança dos serviços:</w:t>
      </w:r>
    </w:p>
    <w:p w:rsidR="00D339A3" w:rsidRPr="00E471E9" w:rsidRDefault="00D339A3" w:rsidP="005377FC">
      <w:pPr>
        <w:pStyle w:val="texto1"/>
        <w:spacing w:before="0" w:beforeAutospacing="0" w:after="0" w:afterAutospacing="0"/>
        <w:ind w:left="2268"/>
        <w:jc w:val="both"/>
        <w:rPr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art29i"/>
      <w:bookmarkEnd w:id="0"/>
      <w:r w:rsidRPr="00E471E9">
        <w:rPr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 - de abastecimento de água e esgotamento sanitário: preferencialmente na forma de tarifas e outros preços públicos, que poderão ser estabelecidos para cada um dos serviços ou para ambos conjuntamente; [...].</w:t>
      </w:r>
    </w:p>
    <w:p w:rsidR="00D339A3" w:rsidRPr="00D339A3" w:rsidRDefault="00D339A3" w:rsidP="005377FC">
      <w:pPr>
        <w:suppressAutoHyphens/>
        <w:spacing w:after="0" w:line="360" w:lineRule="auto"/>
        <w:ind w:firstLine="709"/>
        <w:jc w:val="both"/>
        <w:rPr>
          <w:b/>
          <w:color w:val="9BBB59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D339A3" w:rsidRDefault="00D339A3" w:rsidP="008E5EA3">
      <w:pPr>
        <w:suppressAutoHyphens/>
        <w:spacing w:after="0" w:line="360" w:lineRule="auto"/>
        <w:ind w:firstLine="709"/>
        <w:jc w:val="both"/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55556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Assim</w:t>
      </w:r>
      <w:r w:rsidR="00E471E9" w:rsidRPr="00755556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 por dever de oficio e, com amparo</w:t>
      </w:r>
      <w:r w:rsidRPr="00755556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no Parecer Administrativo nº</w:t>
      </w:r>
      <w:r w:rsidR="00E471E9" w:rsidRPr="00755556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058/2018</w:t>
      </w:r>
      <w:r w:rsidRPr="00755556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 fica determinado o período de 1</w:t>
      </w:r>
      <w:r w:rsidR="00E471E9" w:rsidRPr="00755556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Pr="00755556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(</w:t>
      </w:r>
      <w:r w:rsidR="00E471E9" w:rsidRPr="00755556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treze</w:t>
      </w:r>
      <w:r w:rsidRPr="00755556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) meses, </w:t>
      </w:r>
      <w:r w:rsidR="008E5EA3" w:rsidRPr="00755556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Pr="00755556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partir do </w:t>
      </w:r>
      <w:r w:rsidRPr="00755556">
        <w:rPr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mês de </w:t>
      </w:r>
      <w:r w:rsidR="00E471E9" w:rsidRPr="00755556">
        <w:rPr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abril</w:t>
      </w:r>
      <w:r w:rsidRPr="00755556">
        <w:rPr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/2017 até o mês de </w:t>
      </w:r>
      <w:r w:rsidR="008E5EA3" w:rsidRPr="00755556">
        <w:rPr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abril</w:t>
      </w:r>
      <w:r w:rsidRPr="00755556">
        <w:rPr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/2018</w:t>
      </w:r>
      <w:r w:rsidRPr="00755556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A7787D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(alinhamento da data-base) </w:t>
      </w:r>
      <w:r w:rsidRPr="00755556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que aponta para o índice acumulado de 1,</w:t>
      </w:r>
      <w:r w:rsidR="00E471E9" w:rsidRPr="00755556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77</w:t>
      </w:r>
      <w:r w:rsidRPr="00755556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% (um vírgula </w:t>
      </w:r>
      <w:r w:rsidR="00E471E9" w:rsidRPr="00755556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setenta e sete por cento), como demonstrado no quadro acima e que no Parecer recebeu o nº 27. Diante da realidade apurada, e com base nas simulações e projeções elaboradas e demonstradas, concede-se ainda o acréscimo </w:t>
      </w:r>
      <w:r w:rsidR="00755556" w:rsidRPr="00755556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 2% (dois por cento) àquele índice inflacionário, à título de investimentos necessários</w:t>
      </w:r>
      <w:r w:rsidR="00755556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:rsidR="00755556" w:rsidRDefault="00755556" w:rsidP="005377FC">
      <w:pPr>
        <w:suppressAutoHyphens/>
        <w:spacing w:after="0" w:line="360" w:lineRule="auto"/>
        <w:ind w:firstLine="709"/>
        <w:jc w:val="both"/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Por tudo isso e com amparo na legislação vigente, devidamente citada no Parecer Jurídico e que </w:t>
      </w:r>
      <w:r w:rsidR="005377FC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integra essa </w:t>
      </w:r>
      <w:r w:rsidR="00A7787D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</w:t>
      </w:r>
      <w:r w:rsidR="005377FC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ecisão, decide-se:</w:t>
      </w:r>
    </w:p>
    <w:p w:rsidR="00D339A3" w:rsidRPr="005377FC" w:rsidRDefault="00D339A3" w:rsidP="005377FC">
      <w:pPr>
        <w:suppressAutoHyphens/>
        <w:spacing w:after="0" w:line="360" w:lineRule="auto"/>
        <w:ind w:firstLine="709"/>
        <w:jc w:val="both"/>
        <w:rPr>
          <w:b/>
          <w:color w:val="9BBB59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D339A3" w:rsidRPr="00FF5BF8" w:rsidRDefault="00D339A3" w:rsidP="005377F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709" w:hanging="425"/>
        <w:jc w:val="both"/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377FC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D</w:t>
      </w:r>
      <w:r w:rsidR="00755556" w:rsidRPr="005377FC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EFERE-SE, PARCIALMENTE</w:t>
      </w:r>
      <w:r w:rsidR="00FF5BF8" w:rsidRPr="005377FC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 w:rsidR="00FF5BF8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O</w:t>
      </w:r>
      <w:r w:rsidRPr="00FF5BF8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REAJUSTE PLEITEADO PELA AUTARQUIA, considerando-se para tanto o período de </w:t>
      </w:r>
      <w:r w:rsidR="00755556" w:rsidRPr="00FF5BF8">
        <w:rPr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ABRIL</w:t>
      </w:r>
      <w:r w:rsidRPr="00FF5BF8">
        <w:rPr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/2017 até </w:t>
      </w:r>
      <w:r w:rsidR="00755556" w:rsidRPr="00FF5BF8">
        <w:rPr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ABRIL</w:t>
      </w:r>
      <w:r w:rsidRPr="00FF5BF8">
        <w:rPr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/2018</w:t>
      </w:r>
      <w:r w:rsidRPr="00FF5BF8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 levando como base o índice acumulado do INPC, de 1,</w:t>
      </w:r>
      <w:r w:rsidR="00755556" w:rsidRPr="00FF5BF8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77</w:t>
      </w:r>
      <w:r w:rsidRPr="00FF5BF8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% (um vírgula </w:t>
      </w:r>
      <w:r w:rsidR="00755556" w:rsidRPr="00FF5BF8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setenta e sete por cento), e que respeita</w:t>
      </w:r>
      <w:r w:rsidRPr="00FF5BF8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o inters</w:t>
      </w:r>
      <w:r w:rsidR="00755556" w:rsidRPr="00FF5BF8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tício mínimo de 12 (doze) meses, acrescido de mais 2% (dois por cento) à título de incentivo necessário para investimentos, totalizando o total de 3,77% (três vírgula setenta e sete por cento);</w:t>
      </w:r>
    </w:p>
    <w:p w:rsidR="00FF5BF8" w:rsidRPr="00A37169" w:rsidRDefault="00FF5BF8" w:rsidP="002B75BF">
      <w:pPr>
        <w:numPr>
          <w:ilvl w:val="0"/>
          <w:numId w:val="4"/>
        </w:numPr>
        <w:suppressAutoHyphens/>
        <w:spacing w:after="0" w:line="360" w:lineRule="auto"/>
        <w:ind w:left="709" w:hanging="425"/>
        <w:jc w:val="both"/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t xml:space="preserve">Que, do reajuste de </w:t>
      </w:r>
      <w:r w:rsidRPr="00FF5BF8">
        <w:t xml:space="preserve">3,77% (três vírgula setenta e sete por cento), </w:t>
      </w:r>
      <w:r w:rsidRPr="0069349D">
        <w:t xml:space="preserve">sejam excluídos </w:t>
      </w:r>
      <w:r>
        <w:t>os serviços</w:t>
      </w:r>
      <w:r w:rsidR="00127B40">
        <w:t>:</w:t>
      </w:r>
      <w:r>
        <w:t xml:space="preserve"> Troca de Cavalete, Violação, Retirada ou </w:t>
      </w:r>
      <w:r w:rsidR="00127B40">
        <w:t>I</w:t>
      </w:r>
      <w:r>
        <w:t xml:space="preserve">nversão de Hidrômetro, Ligação Convencional Diâmetro de </w:t>
      </w:r>
      <w:r w:rsidR="00127B40">
        <w:t>“</w:t>
      </w:r>
      <w:r>
        <w:t xml:space="preserve">1/2” e Ligação Clandestina, cujos valores são objeto de pedido em separado através do Procedimento Administrativo </w:t>
      </w:r>
      <w:r w:rsidR="00127B40">
        <w:t xml:space="preserve">nº </w:t>
      </w:r>
      <w:r>
        <w:t xml:space="preserve">034/2017, à título de </w:t>
      </w:r>
      <w:r w:rsidR="00127B40">
        <w:t>r</w:t>
      </w:r>
      <w:r>
        <w:t>evisão da tabela de preços dos serviços públicos prestados pelo Serviço Autônomo Municipal de Água e Esgoto de Timbó</w:t>
      </w:r>
      <w:r w:rsidR="00127B40">
        <w:t xml:space="preserve"> – SAMAE.</w:t>
      </w:r>
    </w:p>
    <w:p w:rsidR="00A37169" w:rsidRPr="00127B40" w:rsidRDefault="00A37169" w:rsidP="00A37169">
      <w:pPr>
        <w:suppressAutoHyphens/>
        <w:spacing w:after="0" w:line="360" w:lineRule="auto"/>
        <w:ind w:left="709"/>
        <w:jc w:val="both"/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D339A3" w:rsidRDefault="00D339A3" w:rsidP="005377FC">
      <w:pPr>
        <w:spacing w:after="0" w:line="360" w:lineRule="auto"/>
        <w:ind w:firstLine="709"/>
        <w:jc w:val="both"/>
        <w:rPr>
          <w:bCs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F5BF8">
        <w:rPr>
          <w:bCs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 reajuste acima autorizado, fica condicionado as seguintes medidas que deverão estar disponíveis quando do pr</w:t>
      </w:r>
      <w:r w:rsidR="00FF5BF8" w:rsidRPr="00FF5BF8">
        <w:rPr>
          <w:bCs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óximo pedido anual de reajuste, de eventual revisão tarifária ou quando outros prazos forem fixados pela Agência Reguladora:</w:t>
      </w:r>
    </w:p>
    <w:p w:rsidR="00A37169" w:rsidRDefault="00A37169" w:rsidP="005377FC">
      <w:pPr>
        <w:spacing w:after="0" w:line="360" w:lineRule="auto"/>
        <w:ind w:firstLine="709"/>
        <w:jc w:val="both"/>
        <w:rPr>
          <w:bCs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D339A3" w:rsidRPr="001F1F24" w:rsidRDefault="00D339A3" w:rsidP="005377FC">
      <w:pPr>
        <w:pStyle w:val="PargrafodaLista"/>
        <w:numPr>
          <w:ilvl w:val="0"/>
          <w:numId w:val="5"/>
        </w:numPr>
        <w:spacing w:after="0" w:line="336" w:lineRule="auto"/>
        <w:jc w:val="both"/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1F24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Que o SAMAE de </w:t>
      </w:r>
      <w:r w:rsidR="00FF5BF8" w:rsidRPr="001F1F24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Timbó</w:t>
      </w:r>
      <w:r w:rsidRPr="001F1F24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apresente um cronograma de trabalho sobre a depreciação dos seus ativos, haja vista, ser uma conta imprescindível para a recuperação do ativo na elaboração da tarifa com preço justo;</w:t>
      </w:r>
    </w:p>
    <w:p w:rsidR="00D339A3" w:rsidRPr="001F1F24" w:rsidRDefault="00D339A3" w:rsidP="005377FC">
      <w:pPr>
        <w:numPr>
          <w:ilvl w:val="0"/>
          <w:numId w:val="5"/>
        </w:numPr>
        <w:suppressAutoHyphens/>
        <w:spacing w:after="0" w:line="336" w:lineRule="auto"/>
        <w:jc w:val="both"/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1F24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Que a Autarquia apresente um cronograma de trabalho sobre o registro da conta de estoque no Balanço Patrimonial;</w:t>
      </w:r>
    </w:p>
    <w:p w:rsidR="00D339A3" w:rsidRPr="001F1F24" w:rsidRDefault="00D339A3" w:rsidP="005377FC">
      <w:pPr>
        <w:numPr>
          <w:ilvl w:val="0"/>
          <w:numId w:val="5"/>
        </w:numPr>
        <w:suppressAutoHyphens/>
        <w:spacing w:after="0" w:line="360" w:lineRule="auto"/>
        <w:jc w:val="both"/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1F24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Que o SAMAE de </w:t>
      </w:r>
      <w:r w:rsidR="00FF5BF8" w:rsidRPr="001F1F24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Timbó</w:t>
      </w:r>
      <w:r w:rsidRPr="001F1F24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 obedeça rigorosamente aos investimentos elencados em seu Plano Municipal de Saneamento Básico (PMSB), revisado, com evidências de seu fiel cumprimento para proporcionar um próximo reajuste/revisão eficiente, e colaborem para a manutenção, sustentabilidade e regularidade dos serviços ou, em sendo necessário, promover a alteração de alguma meta do PMSB, mediante justificativa a ser analisada pela Agência;</w:t>
      </w:r>
    </w:p>
    <w:p w:rsidR="00D339A3" w:rsidRPr="001F1F24" w:rsidRDefault="00D339A3" w:rsidP="00D339A3">
      <w:pPr>
        <w:numPr>
          <w:ilvl w:val="0"/>
          <w:numId w:val="5"/>
        </w:numPr>
        <w:suppressAutoHyphens/>
        <w:spacing w:after="0" w:line="360" w:lineRule="auto"/>
        <w:ind w:left="709" w:hanging="425"/>
        <w:jc w:val="both"/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1F24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 cada semestre após a aplicação do reajuste em tela, deverá o SAMAE de </w:t>
      </w:r>
      <w:r w:rsidR="001F1F24" w:rsidRPr="001F1F24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Timbó</w:t>
      </w:r>
      <w:r w:rsidRPr="001F1F24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remeter para a AGIR, documentação que permita a aferição dos cronogramas e seus investimentos conforme evidenciado no item anterior, bem como documentos </w:t>
      </w:r>
      <w:r w:rsidRPr="001F1F24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 xml:space="preserve">comprobatórios (empenhos, homologações, notas fiscais etc.) e, ainda relato dos demais itens condicionados nesta Decisão; </w:t>
      </w:r>
    </w:p>
    <w:p w:rsidR="001F1F24" w:rsidRPr="002E0106" w:rsidRDefault="001F1F24" w:rsidP="001F1F24">
      <w:pPr>
        <w:pStyle w:val="PargrafodaLista"/>
        <w:numPr>
          <w:ilvl w:val="0"/>
          <w:numId w:val="5"/>
        </w:numPr>
        <w:spacing w:after="0" w:line="360" w:lineRule="auto"/>
        <w:jc w:val="both"/>
      </w:pPr>
      <w:r w:rsidRPr="002E0106">
        <w:t>Que o SAMAE de Timbó apresente</w:t>
      </w:r>
      <w:r>
        <w:t xml:space="preserve"> para a AGIR,</w:t>
      </w:r>
      <w:r w:rsidRPr="002E0106">
        <w:t xml:space="preserve"> </w:t>
      </w:r>
      <w:r>
        <w:t>a fonte de recurso para os serviços Drenagem Urbana, no prazo de 90 (noventa) dias;</w:t>
      </w:r>
    </w:p>
    <w:p w:rsidR="001F1F24" w:rsidRPr="001F1F24" w:rsidRDefault="001F1F24" w:rsidP="001F1F24">
      <w:pPr>
        <w:pStyle w:val="PargrafodaLista"/>
        <w:numPr>
          <w:ilvl w:val="0"/>
          <w:numId w:val="5"/>
        </w:numPr>
        <w:spacing w:after="0" w:line="360" w:lineRule="auto"/>
        <w:jc w:val="both"/>
      </w:pPr>
      <w:r w:rsidRPr="005E6241">
        <w:t xml:space="preserve">Que a autarquia continue com sua atenção voltada ao Quadro 02 – </w:t>
      </w:r>
      <w:r w:rsidR="00127B40">
        <w:t>A</w:t>
      </w:r>
      <w:r w:rsidRPr="005E6241">
        <w:t xml:space="preserve">companhamento de melhorias e correções das não conformidades do Sistema de Abastecimento de </w:t>
      </w:r>
      <w:r w:rsidR="00127B40">
        <w:t>Á</w:t>
      </w:r>
      <w:r w:rsidRPr="005E6241">
        <w:t xml:space="preserve">gua de Timbó </w:t>
      </w:r>
      <w:r w:rsidRPr="001F1F24">
        <w:t xml:space="preserve">(SAA – Timbó), inserido no relatório de Fiscalização 004-2017, encaminhado em 28 de dezembro de 2017, através do </w:t>
      </w:r>
      <w:r w:rsidR="00127B40">
        <w:t>O</w:t>
      </w:r>
      <w:r w:rsidRPr="001F1F24">
        <w:t xml:space="preserve">fício </w:t>
      </w:r>
      <w:r w:rsidR="00127B40">
        <w:t xml:space="preserve">nº </w:t>
      </w:r>
      <w:r w:rsidRPr="001F1F24">
        <w:t>593/2017 – Técnico AGIR, cuja resposta parcial nos foi encaminhada em 22/02/2018</w:t>
      </w:r>
      <w:r w:rsidR="00127B40">
        <w:t>;</w:t>
      </w:r>
    </w:p>
    <w:p w:rsidR="001F1F24" w:rsidRPr="001F1F24" w:rsidRDefault="001F1F24" w:rsidP="001F1F24">
      <w:pPr>
        <w:numPr>
          <w:ilvl w:val="0"/>
          <w:numId w:val="5"/>
        </w:numPr>
        <w:suppressAutoHyphens/>
        <w:spacing w:after="0" w:line="360" w:lineRule="auto"/>
        <w:jc w:val="both"/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1F24">
        <w:t>Que a Autarquia registre a conta de Dívida Ativa Tributária com respeito a Taxa de coleta de lixo e desenvolva ações para a recuperação dos créditos em dívida ativa</w:t>
      </w:r>
      <w:r w:rsidR="00127B40">
        <w:t>;</w:t>
      </w:r>
    </w:p>
    <w:p w:rsidR="00D339A3" w:rsidRDefault="00D339A3" w:rsidP="00D339A3">
      <w:pPr>
        <w:numPr>
          <w:ilvl w:val="0"/>
          <w:numId w:val="5"/>
        </w:numPr>
        <w:suppressAutoHyphens/>
        <w:spacing w:after="0" w:line="360" w:lineRule="auto"/>
        <w:ind w:left="709" w:hanging="425"/>
        <w:jc w:val="both"/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1F24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Por fim, observe a Autarquia à necessidade de comunicação aos seus usuários de forma ampla e oficial, num período não inferior a 30 (trinta) dias, para início da cobrança do novo regime tarifário e que seja encaminhado a esta Agência cópia da nova tabela tarifária, assim como das publicações realizadas pelo </w:t>
      </w:r>
      <w:r w:rsidR="00127B40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</w:t>
      </w:r>
      <w:r w:rsidRPr="001F1F24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unicípio de </w:t>
      </w:r>
      <w:r w:rsidR="00127B40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Timbó</w:t>
      </w:r>
      <w:r w:rsidRPr="001F1F24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/SC e pelo SAMAE de </w:t>
      </w:r>
      <w:r w:rsidR="00127B40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Timbó,</w:t>
      </w:r>
      <w:r w:rsidRPr="001F1F24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em observação ao disposto no Artigo 39 da Lei Federal nº 11.245/2007, que estabelece: “Art. 39. As tarifas serão fixadas de forma clara e objetiva, devendo os reajustes e as revisões ser tornados públicos com antecedência mínima de 30 (trinta) dias em relação à sua aplicação”.</w:t>
      </w:r>
    </w:p>
    <w:p w:rsidR="00A37169" w:rsidRPr="001F1F24" w:rsidRDefault="00A37169" w:rsidP="00A37169">
      <w:pPr>
        <w:suppressAutoHyphens/>
        <w:spacing w:after="0" w:line="360" w:lineRule="auto"/>
        <w:ind w:left="709"/>
        <w:jc w:val="both"/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1" w:name="_GoBack"/>
      <w:bookmarkEnd w:id="1"/>
    </w:p>
    <w:p w:rsidR="00D339A3" w:rsidRPr="001F1F24" w:rsidRDefault="00D339A3" w:rsidP="00D339A3">
      <w:pPr>
        <w:suppressAutoHyphens/>
        <w:spacing w:after="0" w:line="360" w:lineRule="auto"/>
        <w:ind w:firstLine="720"/>
        <w:jc w:val="both"/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1F24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Todas as exigências complementares acima serão objeto de avaliação e de análise no próximo pedido de revisão e/ou reajuste e o não atendimento e/ou cumprimento, poderá servir como redutor do índice a ser </w:t>
      </w:r>
      <w:r w:rsidR="008E5EA3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solicitado, salvo situações cons</w:t>
      </w:r>
      <w:r w:rsidRPr="001F1F24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ensadas ou reconhecidas como não aplicáveis, após análise da AGIR.</w:t>
      </w:r>
    </w:p>
    <w:p w:rsidR="001F1F24" w:rsidRPr="001F1F24" w:rsidRDefault="00D339A3" w:rsidP="00D339A3">
      <w:pPr>
        <w:suppressAutoHyphens/>
        <w:spacing w:after="0" w:line="360" w:lineRule="auto"/>
        <w:ind w:firstLine="720"/>
        <w:jc w:val="both"/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1F24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Extraia-se cópia desta Decisão, bem como dos demais documentos pertinentes e, </w:t>
      </w:r>
      <w:r w:rsidRPr="001F1F24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encaminhe-se para as partes </w:t>
      </w:r>
      <w:r w:rsidRPr="001F1F24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(leia-se: SAMAE de </w:t>
      </w:r>
      <w:r w:rsidR="001F1F24" w:rsidRPr="001F1F24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Timbó</w:t>
      </w:r>
      <w:r w:rsidRPr="001F1F24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e Executivo Municipal</w:t>
      </w:r>
      <w:r w:rsidR="001F1F24" w:rsidRPr="001F1F24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</w:t>
      </w:r>
      <w:r w:rsidR="00127B40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Conselho Municipal de Saneamento Básico</w:t>
      </w:r>
      <w:r w:rsidR="001F1F24" w:rsidRPr="001F1F24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e Câmara de Vereadores de Timbó,</w:t>
      </w:r>
      <w:r w:rsidRPr="001F1F24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) para conhecimento</w:t>
      </w:r>
      <w:r w:rsidR="001F1F24" w:rsidRPr="001F1F24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e providências legais cabíveis e mais, para amplo conhecimento e participação social.</w:t>
      </w:r>
    </w:p>
    <w:p w:rsidR="00D339A3" w:rsidRDefault="001F1F24" w:rsidP="00D339A3">
      <w:pPr>
        <w:suppressAutoHyphens/>
        <w:spacing w:after="0" w:line="360" w:lineRule="auto"/>
        <w:ind w:firstLine="720"/>
        <w:jc w:val="both"/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1F24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A presente de</w:t>
      </w:r>
      <w:r w:rsidR="00D339A3" w:rsidRPr="001F1F24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cisão entra em vigor a partir de sua publicação no Diário Oficial dos Municípios de Santa Catarina (DOM/SC), órgão oficial de publicidade da AGIR, além de também ser publicado no site da AGIR, qual seja </w:t>
      </w:r>
      <w:hyperlink r:id="rId8" w:history="1">
        <w:r w:rsidR="00D339A3" w:rsidRPr="001F1F24">
          <w:rPr>
            <w:rStyle w:val="Hyperlink"/>
            <w:bCs/>
            <w:color w:val="auto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www.agir.sc.gov.br</w:t>
        </w:r>
      </w:hyperlink>
      <w:r w:rsidR="00D339A3" w:rsidRPr="001F1F24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:rsidR="00D339A3" w:rsidRPr="001F1F24" w:rsidRDefault="00D339A3" w:rsidP="00D339A3">
      <w:pPr>
        <w:suppressAutoHyphens/>
        <w:spacing w:after="0" w:line="360" w:lineRule="auto"/>
        <w:ind w:firstLine="720"/>
        <w:jc w:val="both"/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1F24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Não havendo manifestação no prazo de 15 (quinze) dias, DETERMINA-SE O ARQUIVAMENTO deste procedimento administrativo, uma vez recebidas as publicações.</w:t>
      </w:r>
    </w:p>
    <w:p w:rsidR="00D339A3" w:rsidRPr="001F1F24" w:rsidRDefault="00D339A3" w:rsidP="00D339A3">
      <w:pPr>
        <w:suppressAutoHyphens/>
        <w:spacing w:after="0" w:line="360" w:lineRule="auto"/>
        <w:ind w:left="709"/>
        <w:jc w:val="both"/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1F24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Essa a Decisão.</w:t>
      </w:r>
    </w:p>
    <w:p w:rsidR="00D339A3" w:rsidRPr="001F1F24" w:rsidRDefault="00D339A3" w:rsidP="00D339A3">
      <w:pPr>
        <w:suppressAutoHyphens/>
        <w:spacing w:after="0" w:line="360" w:lineRule="auto"/>
        <w:jc w:val="right"/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D339A3" w:rsidRPr="001F1F24" w:rsidRDefault="00D339A3" w:rsidP="00D339A3">
      <w:pPr>
        <w:spacing w:after="0" w:line="360" w:lineRule="auto"/>
        <w:jc w:val="right"/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1F24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Blumenau (SC), em </w:t>
      </w:r>
      <w:r w:rsidR="001F1F24" w:rsidRPr="001F1F24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25 de maio</w:t>
      </w:r>
      <w:r w:rsidRPr="001F1F24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de 2018.</w:t>
      </w:r>
    </w:p>
    <w:p w:rsidR="00D339A3" w:rsidRDefault="00D339A3" w:rsidP="00D339A3">
      <w:pPr>
        <w:spacing w:after="0" w:line="360" w:lineRule="auto"/>
        <w:rPr>
          <w:b/>
          <w:color w:val="FF0000"/>
        </w:rPr>
      </w:pPr>
    </w:p>
    <w:p w:rsidR="00D339A3" w:rsidRDefault="00D339A3" w:rsidP="00D339A3">
      <w:pPr>
        <w:spacing w:after="0" w:line="360" w:lineRule="auto"/>
        <w:rPr>
          <w:b/>
          <w:color w:val="FF0000"/>
        </w:rPr>
      </w:pPr>
    </w:p>
    <w:p w:rsidR="00127B40" w:rsidRDefault="00127B40" w:rsidP="00D339A3">
      <w:pPr>
        <w:spacing w:after="0" w:line="360" w:lineRule="auto"/>
        <w:rPr>
          <w:b/>
          <w:color w:val="FF0000"/>
        </w:rPr>
      </w:pPr>
    </w:p>
    <w:p w:rsidR="00D339A3" w:rsidRDefault="00D339A3" w:rsidP="00D339A3">
      <w:pPr>
        <w:spacing w:after="0" w:line="360" w:lineRule="auto"/>
        <w:rPr>
          <w:b/>
          <w:color w:val="FF0000"/>
        </w:rPr>
      </w:pPr>
    </w:p>
    <w:p w:rsidR="00D339A3" w:rsidRDefault="00D339A3" w:rsidP="00D339A3">
      <w:pPr>
        <w:spacing w:after="0" w:line="360" w:lineRule="auto"/>
        <w:jc w:val="center"/>
        <w:rPr>
          <w:b/>
        </w:rPr>
      </w:pPr>
      <w:r>
        <w:rPr>
          <w:b/>
        </w:rPr>
        <w:t>HEINRICH LUIZ PASOLD</w:t>
      </w:r>
    </w:p>
    <w:p w:rsidR="004118D7" w:rsidRDefault="00903C38" w:rsidP="00903C38">
      <w:pPr>
        <w:spacing w:after="0" w:line="360" w:lineRule="auto"/>
        <w:jc w:val="center"/>
      </w:pPr>
      <w:r>
        <w:t>Diretor Geral</w:t>
      </w:r>
      <w:r w:rsidR="00D339A3">
        <w:t>.</w:t>
      </w:r>
    </w:p>
    <w:sectPr w:rsidR="004118D7" w:rsidSect="00B56D75">
      <w:headerReference w:type="default" r:id="rId9"/>
      <w:footerReference w:type="default" r:id="rId10"/>
      <w:headerReference w:type="first" r:id="rId11"/>
      <w:pgSz w:w="11906" w:h="16838" w:code="9"/>
      <w:pgMar w:top="1440" w:right="1134" w:bottom="1440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0EA" w:rsidRDefault="006770EA" w:rsidP="00325C33">
      <w:pPr>
        <w:spacing w:after="0" w:line="240" w:lineRule="auto"/>
      </w:pPr>
      <w:r>
        <w:separator/>
      </w:r>
    </w:p>
  </w:endnote>
  <w:endnote w:type="continuationSeparator" w:id="0">
    <w:p w:rsidR="006770EA" w:rsidRDefault="006770EA" w:rsidP="0032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18455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F0778" w:rsidRDefault="00AF0778">
        <w:pPr>
          <w:pStyle w:val="Rodap"/>
          <w:jc w:val="right"/>
          <w:rPr>
            <w:sz w:val="20"/>
            <w:szCs w:val="20"/>
          </w:rPr>
        </w:pPr>
        <w:r w:rsidRPr="00AF0778">
          <w:rPr>
            <w:sz w:val="20"/>
            <w:szCs w:val="20"/>
          </w:rPr>
          <w:fldChar w:fldCharType="begin"/>
        </w:r>
        <w:r w:rsidRPr="00AF0778">
          <w:rPr>
            <w:sz w:val="20"/>
            <w:szCs w:val="20"/>
          </w:rPr>
          <w:instrText>PAGE   \* MERGEFORMAT</w:instrText>
        </w:r>
        <w:r w:rsidRPr="00AF0778">
          <w:rPr>
            <w:sz w:val="20"/>
            <w:szCs w:val="20"/>
          </w:rPr>
          <w:fldChar w:fldCharType="separate"/>
        </w:r>
        <w:r w:rsidRPr="00AF0778">
          <w:rPr>
            <w:sz w:val="20"/>
            <w:szCs w:val="20"/>
          </w:rPr>
          <w:t>2</w:t>
        </w:r>
        <w:r w:rsidRPr="00AF0778">
          <w:rPr>
            <w:sz w:val="20"/>
            <w:szCs w:val="20"/>
          </w:rPr>
          <w:fldChar w:fldCharType="end"/>
        </w:r>
      </w:p>
      <w:p w:rsidR="00AF0778" w:rsidRPr="00AF0778" w:rsidRDefault="00AF0778" w:rsidP="00AF0778">
        <w:pPr>
          <w:pStyle w:val="Rodap"/>
        </w:pPr>
        <w:r>
          <w:rPr>
            <w:noProof/>
          </w:rPr>
          <w:drawing>
            <wp:inline distT="0" distB="0" distL="0" distR="0" wp14:anchorId="2E5251AA" wp14:editId="2713B882">
              <wp:extent cx="6145530" cy="462915"/>
              <wp:effectExtent l="0" t="0" r="7620" b="0"/>
              <wp:docPr id="20" name="Imagem 20" descr="Cabeçalho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" descr="Cabeçalho02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47641" cy="4630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325C33" w:rsidRDefault="00325C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0EA" w:rsidRDefault="006770EA" w:rsidP="00325C33">
      <w:pPr>
        <w:spacing w:after="0" w:line="240" w:lineRule="auto"/>
      </w:pPr>
      <w:r>
        <w:separator/>
      </w:r>
    </w:p>
  </w:footnote>
  <w:footnote w:type="continuationSeparator" w:id="0">
    <w:p w:rsidR="006770EA" w:rsidRDefault="006770EA" w:rsidP="00325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C33" w:rsidRDefault="00F72F17">
    <w:pPr>
      <w:pStyle w:val="Cabealho"/>
    </w:pPr>
    <w:r>
      <w:rPr>
        <w:noProof/>
      </w:rPr>
      <w:drawing>
        <wp:inline distT="0" distB="0" distL="0" distR="0" wp14:anchorId="17493434" wp14:editId="6E647A57">
          <wp:extent cx="6145619" cy="1256665"/>
          <wp:effectExtent l="0" t="0" r="7620" b="635"/>
          <wp:docPr id="19" name="Imagem 19" descr="Y:\Logomarca AGIR\Novo timbre Prêm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marca AGIR\Novo timbre Prêm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0323" cy="1257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778" w:rsidRDefault="00AF0778">
    <w:pPr>
      <w:pStyle w:val="Cabealho"/>
    </w:pPr>
    <w:r>
      <w:rPr>
        <w:noProof/>
      </w:rPr>
      <w:drawing>
        <wp:inline distT="0" distB="0" distL="0" distR="0" wp14:anchorId="3FDF6B1F" wp14:editId="791D4DC3">
          <wp:extent cx="6145619" cy="1256665"/>
          <wp:effectExtent l="0" t="0" r="7620" b="635"/>
          <wp:docPr id="1" name="Imagem 1" descr="Y:\Logomarca AGIR\Novo timbre Prêm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marca AGIR\Novo timbre Prêm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0323" cy="1257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778" w:rsidRDefault="00AF07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14AF"/>
    <w:multiLevelType w:val="hybridMultilevel"/>
    <w:tmpl w:val="45BEEE04"/>
    <w:lvl w:ilvl="0" w:tplc="B4025376">
      <w:start w:val="1"/>
      <w:numFmt w:val="lowerLetter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335E15"/>
    <w:multiLevelType w:val="hybridMultilevel"/>
    <w:tmpl w:val="F71EE2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2312F"/>
    <w:multiLevelType w:val="hybridMultilevel"/>
    <w:tmpl w:val="34586D0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C093980"/>
    <w:multiLevelType w:val="hybridMultilevel"/>
    <w:tmpl w:val="B91A8EDC"/>
    <w:lvl w:ilvl="0" w:tplc="35346C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C26F5B"/>
    <w:multiLevelType w:val="hybridMultilevel"/>
    <w:tmpl w:val="757A6E22"/>
    <w:lvl w:ilvl="0" w:tplc="480205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C33"/>
    <w:rsid w:val="0002266E"/>
    <w:rsid w:val="00087E8A"/>
    <w:rsid w:val="00096995"/>
    <w:rsid w:val="00096E97"/>
    <w:rsid w:val="000D1796"/>
    <w:rsid w:val="000F0EAC"/>
    <w:rsid w:val="00127767"/>
    <w:rsid w:val="00127B40"/>
    <w:rsid w:val="00177D0F"/>
    <w:rsid w:val="001C144E"/>
    <w:rsid w:val="001F1F24"/>
    <w:rsid w:val="00202FDF"/>
    <w:rsid w:val="002053D8"/>
    <w:rsid w:val="00255410"/>
    <w:rsid w:val="00257A93"/>
    <w:rsid w:val="002858FF"/>
    <w:rsid w:val="002971A9"/>
    <w:rsid w:val="002A3377"/>
    <w:rsid w:val="002C13AB"/>
    <w:rsid w:val="002E7FED"/>
    <w:rsid w:val="00303C8D"/>
    <w:rsid w:val="00325C33"/>
    <w:rsid w:val="0035183B"/>
    <w:rsid w:val="003601A9"/>
    <w:rsid w:val="003D33FF"/>
    <w:rsid w:val="003F0FA7"/>
    <w:rsid w:val="004118D7"/>
    <w:rsid w:val="004268D3"/>
    <w:rsid w:val="004476E7"/>
    <w:rsid w:val="00455800"/>
    <w:rsid w:val="00493124"/>
    <w:rsid w:val="00495EA8"/>
    <w:rsid w:val="004C735F"/>
    <w:rsid w:val="005139DE"/>
    <w:rsid w:val="00522BF5"/>
    <w:rsid w:val="00534E5C"/>
    <w:rsid w:val="005377FC"/>
    <w:rsid w:val="00556E8C"/>
    <w:rsid w:val="005748C8"/>
    <w:rsid w:val="0059473F"/>
    <w:rsid w:val="005B30D4"/>
    <w:rsid w:val="005C1522"/>
    <w:rsid w:val="00604381"/>
    <w:rsid w:val="00616121"/>
    <w:rsid w:val="00620042"/>
    <w:rsid w:val="00631FCE"/>
    <w:rsid w:val="00635377"/>
    <w:rsid w:val="00663424"/>
    <w:rsid w:val="00673238"/>
    <w:rsid w:val="006770EA"/>
    <w:rsid w:val="00686E4A"/>
    <w:rsid w:val="006B6182"/>
    <w:rsid w:val="00707F0D"/>
    <w:rsid w:val="00755556"/>
    <w:rsid w:val="00764BF5"/>
    <w:rsid w:val="007732BA"/>
    <w:rsid w:val="00780A8D"/>
    <w:rsid w:val="00787A50"/>
    <w:rsid w:val="007A111D"/>
    <w:rsid w:val="007C7A9C"/>
    <w:rsid w:val="007E561D"/>
    <w:rsid w:val="007F32B0"/>
    <w:rsid w:val="00842F7B"/>
    <w:rsid w:val="00887BFE"/>
    <w:rsid w:val="008C4C73"/>
    <w:rsid w:val="008E5EA3"/>
    <w:rsid w:val="00903C38"/>
    <w:rsid w:val="00915CF7"/>
    <w:rsid w:val="0092734F"/>
    <w:rsid w:val="00946E65"/>
    <w:rsid w:val="009A0591"/>
    <w:rsid w:val="009B2FE8"/>
    <w:rsid w:val="009C0F80"/>
    <w:rsid w:val="009C311D"/>
    <w:rsid w:val="009E3842"/>
    <w:rsid w:val="009F6E62"/>
    <w:rsid w:val="00A37169"/>
    <w:rsid w:val="00A62850"/>
    <w:rsid w:val="00A73C63"/>
    <w:rsid w:val="00A7787D"/>
    <w:rsid w:val="00AD5A77"/>
    <w:rsid w:val="00AF0778"/>
    <w:rsid w:val="00B30681"/>
    <w:rsid w:val="00B4486D"/>
    <w:rsid w:val="00B56D75"/>
    <w:rsid w:val="00B73791"/>
    <w:rsid w:val="00B85B1F"/>
    <w:rsid w:val="00BA500C"/>
    <w:rsid w:val="00BE70D5"/>
    <w:rsid w:val="00C0546E"/>
    <w:rsid w:val="00C24A4D"/>
    <w:rsid w:val="00C57EBE"/>
    <w:rsid w:val="00CE045B"/>
    <w:rsid w:val="00D133D3"/>
    <w:rsid w:val="00D2358E"/>
    <w:rsid w:val="00D30638"/>
    <w:rsid w:val="00D339A3"/>
    <w:rsid w:val="00D71C3C"/>
    <w:rsid w:val="00D8222E"/>
    <w:rsid w:val="00D84CB0"/>
    <w:rsid w:val="00D94DAD"/>
    <w:rsid w:val="00D9511D"/>
    <w:rsid w:val="00DB1DBB"/>
    <w:rsid w:val="00DC1E2A"/>
    <w:rsid w:val="00DC4F0D"/>
    <w:rsid w:val="00E0066F"/>
    <w:rsid w:val="00E471E9"/>
    <w:rsid w:val="00E60E62"/>
    <w:rsid w:val="00E83F68"/>
    <w:rsid w:val="00EA0AB8"/>
    <w:rsid w:val="00EC21B8"/>
    <w:rsid w:val="00EC4461"/>
    <w:rsid w:val="00EE4A57"/>
    <w:rsid w:val="00EE609B"/>
    <w:rsid w:val="00EE75C7"/>
    <w:rsid w:val="00EF343E"/>
    <w:rsid w:val="00EF3DA1"/>
    <w:rsid w:val="00EF797F"/>
    <w:rsid w:val="00F33A72"/>
    <w:rsid w:val="00F61FC4"/>
    <w:rsid w:val="00F64454"/>
    <w:rsid w:val="00F67635"/>
    <w:rsid w:val="00F72F17"/>
    <w:rsid w:val="00F80703"/>
    <w:rsid w:val="00F913E7"/>
    <w:rsid w:val="00F94747"/>
    <w:rsid w:val="00FA2FFB"/>
    <w:rsid w:val="00FB4EA6"/>
    <w:rsid w:val="00FC7F73"/>
    <w:rsid w:val="00FE2E32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4D59C5"/>
  <w15:docId w15:val="{A203A8A6-B00C-4EB5-991B-60C38C77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C7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C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25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C33"/>
  </w:style>
  <w:style w:type="paragraph" w:styleId="Rodap">
    <w:name w:val="footer"/>
    <w:basedOn w:val="Normal"/>
    <w:link w:val="RodapChar"/>
    <w:uiPriority w:val="99"/>
    <w:unhideWhenUsed/>
    <w:rsid w:val="00325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C33"/>
  </w:style>
  <w:style w:type="paragraph" w:styleId="PargrafodaLista">
    <w:name w:val="List Paragraph"/>
    <w:basedOn w:val="Normal"/>
    <w:uiPriority w:val="34"/>
    <w:qFormat/>
    <w:rsid w:val="002E7FED"/>
    <w:pPr>
      <w:ind w:left="720"/>
      <w:contextualSpacing/>
    </w:pPr>
  </w:style>
  <w:style w:type="paragraph" w:styleId="SemEspaamento">
    <w:name w:val="No Spacing"/>
    <w:uiPriority w:val="1"/>
    <w:qFormat/>
    <w:rsid w:val="00EC21B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A2FFB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Recuodecorpodetexto">
    <w:name w:val="Body Text Indent"/>
    <w:basedOn w:val="Normal"/>
    <w:link w:val="RecuodecorpodetextoChar"/>
    <w:unhideWhenUsed/>
    <w:rsid w:val="00FA2FFB"/>
    <w:pPr>
      <w:spacing w:after="120" w:line="240" w:lineRule="auto"/>
      <w:ind w:left="283"/>
    </w:pPr>
    <w:rPr>
      <w:rFonts w:eastAsia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A2FFB"/>
    <w:rPr>
      <w:rFonts w:ascii="Times New Roman" w:eastAsia="Times New Roman" w:hAnsi="Times New Roman"/>
    </w:rPr>
  </w:style>
  <w:style w:type="character" w:styleId="Hyperlink">
    <w:name w:val="Hyperlink"/>
    <w:rsid w:val="00CE04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E04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F61F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61FC4"/>
    <w:rPr>
      <w:sz w:val="22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E561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E561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E561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561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561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561D"/>
    <w:rPr>
      <w:vertAlign w:val="superscript"/>
    </w:rPr>
  </w:style>
  <w:style w:type="character" w:customStyle="1" w:styleId="apple-converted-space">
    <w:name w:val="apple-converted-space"/>
    <w:rsid w:val="005C1522"/>
  </w:style>
  <w:style w:type="paragraph" w:customStyle="1" w:styleId="texto1">
    <w:name w:val="texto1"/>
    <w:basedOn w:val="Normal"/>
    <w:uiPriority w:val="99"/>
    <w:rsid w:val="00D339A3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5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3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8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ir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C4D34-A686-4C52-92E1-B44B4D81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8</Pages>
  <Words>2460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Fernanda Schmitt</cp:lastModifiedBy>
  <cp:revision>35</cp:revision>
  <cp:lastPrinted>2018-05-17T20:00:00Z</cp:lastPrinted>
  <dcterms:created xsi:type="dcterms:W3CDTF">2018-05-23T20:19:00Z</dcterms:created>
  <dcterms:modified xsi:type="dcterms:W3CDTF">2018-05-28T18:44:00Z</dcterms:modified>
</cp:coreProperties>
</file>