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5A5" w:rsidRPr="00B80B7F" w:rsidRDefault="003945A5" w:rsidP="007A1E89">
      <w:pPr>
        <w:pStyle w:val="Legenda"/>
        <w:rPr>
          <w:rFonts w:ascii="Times New Roman" w:hAnsi="Times New Roman"/>
          <w:b/>
          <w:sz w:val="40"/>
          <w:szCs w:val="40"/>
          <w:u w:val="single"/>
        </w:rPr>
      </w:pPr>
    </w:p>
    <w:p w:rsidR="007A1E89" w:rsidRPr="00B80B7F" w:rsidRDefault="007A1E89" w:rsidP="007A1E89">
      <w:pPr>
        <w:pStyle w:val="Legenda"/>
        <w:rPr>
          <w:rFonts w:ascii="Times New Roman" w:hAnsi="Times New Roman"/>
          <w:b/>
          <w:sz w:val="40"/>
          <w:szCs w:val="40"/>
          <w:u w:val="single"/>
        </w:rPr>
      </w:pPr>
      <w:r w:rsidRPr="00B80B7F">
        <w:rPr>
          <w:rFonts w:ascii="Times New Roman" w:hAnsi="Times New Roman"/>
          <w:b/>
          <w:sz w:val="40"/>
          <w:szCs w:val="40"/>
          <w:u w:val="single"/>
        </w:rPr>
        <w:t xml:space="preserve">PARECER JURÍDICO Nº </w:t>
      </w:r>
      <w:r w:rsidR="00347653" w:rsidRPr="00B80B7F">
        <w:rPr>
          <w:rFonts w:ascii="Times New Roman" w:hAnsi="Times New Roman"/>
          <w:b/>
          <w:sz w:val="40"/>
          <w:szCs w:val="40"/>
          <w:u w:val="single"/>
        </w:rPr>
        <w:t>0</w:t>
      </w:r>
      <w:r w:rsidR="007C1FB0">
        <w:rPr>
          <w:rFonts w:ascii="Times New Roman" w:hAnsi="Times New Roman"/>
          <w:b/>
          <w:sz w:val="40"/>
          <w:szCs w:val="40"/>
          <w:u w:val="single"/>
        </w:rPr>
        <w:t>164</w:t>
      </w:r>
      <w:r w:rsidRPr="00B80B7F">
        <w:rPr>
          <w:rFonts w:ascii="Times New Roman" w:hAnsi="Times New Roman"/>
          <w:b/>
          <w:sz w:val="40"/>
          <w:szCs w:val="40"/>
          <w:u w:val="single"/>
        </w:rPr>
        <w:t>/201</w:t>
      </w:r>
      <w:r w:rsidR="00E27EEB">
        <w:rPr>
          <w:rFonts w:ascii="Times New Roman" w:hAnsi="Times New Roman"/>
          <w:b/>
          <w:sz w:val="40"/>
          <w:szCs w:val="40"/>
          <w:u w:val="single"/>
        </w:rPr>
        <w:t>9</w:t>
      </w:r>
    </w:p>
    <w:p w:rsidR="003F17A9" w:rsidRPr="00B80B7F" w:rsidRDefault="003F17A9" w:rsidP="007A1E89">
      <w:pPr>
        <w:spacing w:after="0" w:line="360" w:lineRule="auto"/>
        <w:rPr>
          <w:rFonts w:ascii="Times New Roman" w:hAnsi="Times New Roman"/>
          <w:b/>
          <w:sz w:val="24"/>
          <w:szCs w:val="24"/>
        </w:rPr>
      </w:pPr>
    </w:p>
    <w:p w:rsidR="003945A5" w:rsidRPr="00B80B7F" w:rsidRDefault="003945A5" w:rsidP="007A1E89">
      <w:pPr>
        <w:spacing w:after="0" w:line="360" w:lineRule="auto"/>
        <w:rPr>
          <w:rFonts w:ascii="Times New Roman" w:hAnsi="Times New Roman"/>
          <w:b/>
          <w:sz w:val="24"/>
          <w:szCs w:val="24"/>
        </w:rPr>
      </w:pPr>
    </w:p>
    <w:p w:rsidR="007A1E89" w:rsidRPr="00B80B7F" w:rsidRDefault="007A1E89" w:rsidP="007A1E89">
      <w:pPr>
        <w:spacing w:after="0" w:line="360" w:lineRule="auto"/>
        <w:jc w:val="both"/>
        <w:rPr>
          <w:rFonts w:ascii="Times New Roman" w:hAnsi="Times New Roman"/>
          <w:sz w:val="24"/>
          <w:szCs w:val="24"/>
        </w:rPr>
      </w:pPr>
      <w:r w:rsidRPr="00B80B7F">
        <w:rPr>
          <w:rFonts w:ascii="Times New Roman" w:hAnsi="Times New Roman"/>
          <w:b/>
          <w:sz w:val="24"/>
          <w:szCs w:val="24"/>
        </w:rPr>
        <w:t xml:space="preserve">INTERESSADO: </w:t>
      </w:r>
      <w:r w:rsidRPr="00B80B7F">
        <w:rPr>
          <w:rFonts w:ascii="Times New Roman" w:hAnsi="Times New Roman"/>
          <w:sz w:val="24"/>
          <w:szCs w:val="24"/>
        </w:rPr>
        <w:t xml:space="preserve">GERÊNCIA DE CONTROLE, REGULAÇÃO E FISCALIZAÇÃO DE TRANSPORTE COLETIVO E DEMAIS SERVIÇOS PÚBLICOS - AGIR. </w:t>
      </w:r>
    </w:p>
    <w:p w:rsidR="007A1E89" w:rsidRPr="00B80B7F" w:rsidRDefault="007A1E89" w:rsidP="007A1E89">
      <w:pPr>
        <w:spacing w:after="0" w:line="360" w:lineRule="auto"/>
        <w:jc w:val="both"/>
        <w:rPr>
          <w:rFonts w:ascii="Times New Roman" w:hAnsi="Times New Roman"/>
          <w:b/>
          <w:sz w:val="24"/>
          <w:szCs w:val="24"/>
        </w:rPr>
      </w:pPr>
    </w:p>
    <w:p w:rsidR="003945A5" w:rsidRPr="00B80B7F" w:rsidRDefault="003945A5" w:rsidP="007A1E89">
      <w:pPr>
        <w:spacing w:after="0" w:line="360" w:lineRule="auto"/>
        <w:jc w:val="both"/>
        <w:rPr>
          <w:rFonts w:ascii="Times New Roman" w:hAnsi="Times New Roman"/>
          <w:b/>
          <w:sz w:val="24"/>
          <w:szCs w:val="24"/>
        </w:rPr>
      </w:pPr>
    </w:p>
    <w:p w:rsidR="00E27EEB" w:rsidRPr="00854C35" w:rsidRDefault="007A1E89" w:rsidP="00E27EEB">
      <w:pPr>
        <w:pStyle w:val="NormalWeb"/>
        <w:spacing w:before="0" w:beforeAutospacing="0" w:after="0" w:afterAutospacing="0" w:line="360" w:lineRule="auto"/>
        <w:rPr>
          <w:bCs/>
        </w:rPr>
      </w:pPr>
      <w:r w:rsidRPr="00B80B7F">
        <w:rPr>
          <w:b/>
        </w:rPr>
        <w:t xml:space="preserve">OBJETO: </w:t>
      </w:r>
      <w:r w:rsidR="00E27EEB">
        <w:t xml:space="preserve">Reajuste tarifário dos serviços de Transporte Público Coletivo de Passageiros do município de </w:t>
      </w:r>
      <w:proofErr w:type="spellStart"/>
      <w:r w:rsidR="00E27EEB">
        <w:t>Apiúna</w:t>
      </w:r>
      <w:proofErr w:type="spellEnd"/>
      <w:r w:rsidR="00E27EEB">
        <w:t>/SC.</w:t>
      </w:r>
    </w:p>
    <w:p w:rsidR="00347653" w:rsidRPr="00B80B7F" w:rsidRDefault="00347653" w:rsidP="00347653">
      <w:pPr>
        <w:pStyle w:val="Recuodecorpodetexto"/>
        <w:spacing w:after="0" w:line="360" w:lineRule="auto"/>
        <w:ind w:left="0"/>
        <w:rPr>
          <w:b/>
          <w:sz w:val="24"/>
          <w:szCs w:val="24"/>
        </w:rPr>
      </w:pPr>
    </w:p>
    <w:p w:rsidR="00347653" w:rsidRPr="00B80B7F" w:rsidRDefault="00347653" w:rsidP="007A1E89">
      <w:pPr>
        <w:pStyle w:val="Recuodecorpodetexto"/>
        <w:spacing w:after="0" w:line="360" w:lineRule="auto"/>
        <w:ind w:left="0" w:firstLine="1701"/>
        <w:rPr>
          <w:b/>
          <w:sz w:val="24"/>
          <w:szCs w:val="24"/>
        </w:rPr>
      </w:pPr>
    </w:p>
    <w:p w:rsidR="007A1E89" w:rsidRPr="00B80B7F" w:rsidRDefault="007A1E89" w:rsidP="007A1E89">
      <w:pPr>
        <w:pStyle w:val="Recuodecorpodetexto"/>
        <w:spacing w:after="0" w:line="360" w:lineRule="auto"/>
        <w:ind w:left="0" w:firstLine="1701"/>
        <w:rPr>
          <w:b/>
          <w:sz w:val="24"/>
          <w:szCs w:val="24"/>
        </w:rPr>
      </w:pPr>
      <w:r w:rsidRPr="00B80B7F">
        <w:rPr>
          <w:b/>
          <w:sz w:val="24"/>
          <w:szCs w:val="24"/>
        </w:rPr>
        <w:t xml:space="preserve">I – </w:t>
      </w:r>
      <w:r w:rsidR="00057E68">
        <w:rPr>
          <w:b/>
          <w:sz w:val="24"/>
          <w:szCs w:val="24"/>
        </w:rPr>
        <w:t xml:space="preserve">Breve </w:t>
      </w:r>
      <w:r w:rsidRPr="00B80B7F">
        <w:rPr>
          <w:b/>
          <w:sz w:val="24"/>
          <w:szCs w:val="24"/>
        </w:rPr>
        <w:t xml:space="preserve">Relatório: </w:t>
      </w:r>
    </w:p>
    <w:p w:rsidR="005E2D42" w:rsidRDefault="005E2D42" w:rsidP="005E2D42">
      <w:pPr>
        <w:spacing w:after="0" w:line="360" w:lineRule="auto"/>
        <w:ind w:firstLine="1701"/>
        <w:jc w:val="both"/>
        <w:rPr>
          <w:rFonts w:ascii="Times New Roman" w:hAnsi="Times New Roman"/>
          <w:sz w:val="24"/>
          <w:szCs w:val="24"/>
        </w:rPr>
      </w:pPr>
    </w:p>
    <w:p w:rsidR="00E27EEB" w:rsidRDefault="007A1E89" w:rsidP="005E2D42">
      <w:pPr>
        <w:spacing w:after="0" w:line="360" w:lineRule="auto"/>
        <w:ind w:firstLine="1701"/>
        <w:jc w:val="both"/>
        <w:rPr>
          <w:rFonts w:ascii="Times New Roman" w:hAnsi="Times New Roman"/>
          <w:bCs/>
          <w:sz w:val="24"/>
          <w:szCs w:val="24"/>
        </w:rPr>
      </w:pPr>
      <w:r w:rsidRPr="00E27EEB">
        <w:rPr>
          <w:rFonts w:ascii="Times New Roman" w:hAnsi="Times New Roman"/>
          <w:sz w:val="24"/>
          <w:szCs w:val="24"/>
        </w:rPr>
        <w:t xml:space="preserve">Trata-se de análise do Procedimento Administrativo n° </w:t>
      </w:r>
      <w:r w:rsidR="00E27EEB" w:rsidRPr="00E27EEB">
        <w:rPr>
          <w:rFonts w:ascii="Times New Roman" w:hAnsi="Times New Roman"/>
          <w:sz w:val="24"/>
          <w:szCs w:val="24"/>
        </w:rPr>
        <w:t>106</w:t>
      </w:r>
      <w:r w:rsidRPr="00E27EEB">
        <w:rPr>
          <w:rFonts w:ascii="Times New Roman" w:hAnsi="Times New Roman"/>
          <w:sz w:val="24"/>
          <w:szCs w:val="24"/>
        </w:rPr>
        <w:t>/201</w:t>
      </w:r>
      <w:r w:rsidR="00E27EEB" w:rsidRPr="00E27EEB">
        <w:rPr>
          <w:rFonts w:ascii="Times New Roman" w:hAnsi="Times New Roman"/>
          <w:sz w:val="24"/>
          <w:szCs w:val="24"/>
        </w:rPr>
        <w:t>9</w:t>
      </w:r>
      <w:r w:rsidRPr="00E27EEB">
        <w:rPr>
          <w:rFonts w:ascii="Times New Roman" w:hAnsi="Times New Roman"/>
          <w:sz w:val="24"/>
          <w:szCs w:val="24"/>
        </w:rPr>
        <w:t xml:space="preserve">, </w:t>
      </w:r>
      <w:r w:rsidR="00E27EEB" w:rsidRPr="00E27EEB">
        <w:rPr>
          <w:rFonts w:ascii="Times New Roman" w:hAnsi="Times New Roman"/>
          <w:sz w:val="24"/>
          <w:szCs w:val="24"/>
        </w:rPr>
        <w:t>em virtude da solicitação da</w:t>
      </w:r>
      <w:r w:rsidRPr="00E27EEB">
        <w:rPr>
          <w:rFonts w:ascii="Times New Roman" w:hAnsi="Times New Roman"/>
          <w:sz w:val="24"/>
          <w:szCs w:val="24"/>
        </w:rPr>
        <w:t xml:space="preserve"> Gerência de Controle, Regulação e Fiscalização de Transporte Coletivo e Demais Serviços Públicos da AGIR – solicitando </w:t>
      </w:r>
      <w:r w:rsidR="00E27EEB" w:rsidRPr="00E27EEB">
        <w:rPr>
          <w:rFonts w:ascii="Times New Roman" w:hAnsi="Times New Roman"/>
          <w:sz w:val="24"/>
          <w:szCs w:val="24"/>
        </w:rPr>
        <w:t xml:space="preserve">análise jurídica do Parecer Administrativo nº081/2019, </w:t>
      </w:r>
      <w:r w:rsidRPr="00E27EEB">
        <w:rPr>
          <w:rFonts w:ascii="Times New Roman" w:hAnsi="Times New Roman"/>
          <w:sz w:val="24"/>
          <w:szCs w:val="24"/>
        </w:rPr>
        <w:t xml:space="preserve">relativo ao pedido de “reajuste tarifário </w:t>
      </w:r>
      <w:r w:rsidR="00A60B3B" w:rsidRPr="00E27EEB">
        <w:rPr>
          <w:rFonts w:ascii="Times New Roman" w:hAnsi="Times New Roman"/>
          <w:sz w:val="24"/>
          <w:szCs w:val="24"/>
        </w:rPr>
        <w:t>–</w:t>
      </w:r>
      <w:r w:rsidRPr="00E27EEB">
        <w:rPr>
          <w:rFonts w:ascii="Times New Roman" w:hAnsi="Times New Roman"/>
          <w:sz w:val="24"/>
          <w:szCs w:val="24"/>
        </w:rPr>
        <w:t xml:space="preserve"> RT”</w:t>
      </w:r>
      <w:r w:rsidR="00E27EEB" w:rsidRPr="00E27EEB">
        <w:rPr>
          <w:rFonts w:ascii="Times New Roman" w:hAnsi="Times New Roman"/>
          <w:sz w:val="24"/>
          <w:szCs w:val="24"/>
        </w:rPr>
        <w:t>,</w:t>
      </w:r>
      <w:r w:rsidRPr="00E27EEB">
        <w:rPr>
          <w:rFonts w:ascii="Times New Roman" w:hAnsi="Times New Roman"/>
          <w:sz w:val="24"/>
          <w:szCs w:val="24"/>
        </w:rPr>
        <w:t xml:space="preserve"> referente aos </w:t>
      </w:r>
      <w:r w:rsidR="00E27EEB" w:rsidRPr="00E27EEB">
        <w:rPr>
          <w:rFonts w:ascii="Times New Roman" w:hAnsi="Times New Roman"/>
          <w:sz w:val="24"/>
          <w:szCs w:val="24"/>
        </w:rPr>
        <w:t xml:space="preserve">serviços de Transporte Público Coletivo de Passageiros do município de </w:t>
      </w:r>
      <w:proofErr w:type="spellStart"/>
      <w:r w:rsidR="00E27EEB" w:rsidRPr="00E27EEB">
        <w:rPr>
          <w:rFonts w:ascii="Times New Roman" w:hAnsi="Times New Roman"/>
          <w:sz w:val="24"/>
          <w:szCs w:val="24"/>
        </w:rPr>
        <w:t>Apiúna</w:t>
      </w:r>
      <w:proofErr w:type="spellEnd"/>
      <w:r w:rsidR="00E27EEB" w:rsidRPr="00E27EEB">
        <w:rPr>
          <w:rFonts w:ascii="Times New Roman" w:hAnsi="Times New Roman"/>
          <w:sz w:val="24"/>
          <w:szCs w:val="24"/>
        </w:rPr>
        <w:t>/SC,</w:t>
      </w:r>
      <w:r w:rsidRPr="00E27EEB">
        <w:rPr>
          <w:rFonts w:ascii="Times New Roman" w:hAnsi="Times New Roman"/>
          <w:sz w:val="24"/>
          <w:szCs w:val="24"/>
        </w:rPr>
        <w:t xml:space="preserve"> encaminhado pela </w:t>
      </w:r>
      <w:r w:rsidR="00347653" w:rsidRPr="00E27EEB">
        <w:rPr>
          <w:rFonts w:ascii="Times New Roman" w:hAnsi="Times New Roman"/>
          <w:sz w:val="24"/>
          <w:szCs w:val="24"/>
        </w:rPr>
        <w:t xml:space="preserve">empresa </w:t>
      </w:r>
      <w:r w:rsidR="00E27EEB" w:rsidRPr="00E27EEB">
        <w:rPr>
          <w:rFonts w:ascii="Times New Roman" w:hAnsi="Times New Roman"/>
          <w:b/>
          <w:bCs/>
          <w:sz w:val="24"/>
          <w:szCs w:val="24"/>
        </w:rPr>
        <w:t>ALVOSTUR TRANSPORTES</w:t>
      </w:r>
      <w:r w:rsidRPr="00E27EEB">
        <w:rPr>
          <w:rFonts w:ascii="Times New Roman" w:hAnsi="Times New Roman"/>
          <w:b/>
          <w:sz w:val="24"/>
          <w:szCs w:val="24"/>
        </w:rPr>
        <w:t>,</w:t>
      </w:r>
      <w:r w:rsidRPr="00E27EEB">
        <w:rPr>
          <w:rFonts w:ascii="Times New Roman" w:hAnsi="Times New Roman"/>
          <w:sz w:val="24"/>
          <w:szCs w:val="24"/>
        </w:rPr>
        <w:t xml:space="preserve"> </w:t>
      </w:r>
      <w:r w:rsidR="00E27EEB" w:rsidRPr="00E27EEB">
        <w:rPr>
          <w:rFonts w:ascii="Times New Roman" w:hAnsi="Times New Roman"/>
          <w:bCs/>
          <w:sz w:val="24"/>
          <w:szCs w:val="24"/>
        </w:rPr>
        <w:t>do Contrato de Concessão nº 43/2008</w:t>
      </w:r>
      <w:r w:rsidR="005E2D42">
        <w:rPr>
          <w:rFonts w:ascii="Times New Roman" w:hAnsi="Times New Roman"/>
          <w:bCs/>
          <w:sz w:val="24"/>
          <w:szCs w:val="24"/>
        </w:rPr>
        <w:t xml:space="preserve"> e 1º Termo Aditivo firmado em 20 de maio de 2018.</w:t>
      </w:r>
    </w:p>
    <w:p w:rsidR="00057E68" w:rsidRDefault="00057E68" w:rsidP="005E2D42">
      <w:pPr>
        <w:spacing w:after="0" w:line="360" w:lineRule="auto"/>
        <w:ind w:firstLine="1701"/>
        <w:jc w:val="both"/>
        <w:rPr>
          <w:rFonts w:ascii="Times New Roman" w:hAnsi="Times New Roman"/>
          <w:bCs/>
          <w:sz w:val="24"/>
          <w:szCs w:val="24"/>
        </w:rPr>
      </w:pPr>
    </w:p>
    <w:p w:rsidR="00057E68" w:rsidRPr="00057E68" w:rsidRDefault="00057E68" w:rsidP="005E2D42">
      <w:pPr>
        <w:spacing w:after="0" w:line="360" w:lineRule="auto"/>
        <w:ind w:firstLine="1701"/>
        <w:jc w:val="both"/>
        <w:rPr>
          <w:rFonts w:ascii="Times New Roman" w:hAnsi="Times New Roman"/>
          <w:b/>
          <w:sz w:val="24"/>
          <w:szCs w:val="24"/>
        </w:rPr>
      </w:pPr>
      <w:r w:rsidRPr="00057E68">
        <w:rPr>
          <w:rFonts w:ascii="Times New Roman" w:hAnsi="Times New Roman"/>
          <w:b/>
          <w:sz w:val="24"/>
          <w:szCs w:val="24"/>
        </w:rPr>
        <w:t>II - Análise</w:t>
      </w:r>
    </w:p>
    <w:p w:rsidR="0099408A" w:rsidRPr="00E27EEB" w:rsidRDefault="00347653" w:rsidP="00E27EEB">
      <w:pPr>
        <w:pStyle w:val="NormalWeb"/>
        <w:spacing w:before="0" w:beforeAutospacing="0" w:after="0" w:afterAutospacing="0" w:line="360" w:lineRule="auto"/>
        <w:jc w:val="both"/>
      </w:pPr>
      <w:r w:rsidRPr="00E27EEB">
        <w:t>.</w:t>
      </w:r>
    </w:p>
    <w:p w:rsidR="005E2D42" w:rsidRDefault="007A1E89" w:rsidP="00674170">
      <w:pPr>
        <w:pStyle w:val="Recuodecorpodetexto"/>
        <w:spacing w:after="0" w:line="360" w:lineRule="auto"/>
        <w:ind w:left="0" w:firstLine="1701"/>
        <w:jc w:val="both"/>
        <w:rPr>
          <w:color w:val="000000"/>
          <w:sz w:val="24"/>
          <w:szCs w:val="24"/>
        </w:rPr>
      </w:pPr>
      <w:r w:rsidRPr="00B80B7F">
        <w:rPr>
          <w:sz w:val="24"/>
          <w:szCs w:val="24"/>
        </w:rPr>
        <w:t xml:space="preserve">Compulsando os autos, verifica-se que o pleito </w:t>
      </w:r>
      <w:r w:rsidR="00843C64" w:rsidRPr="00B80B7F">
        <w:rPr>
          <w:sz w:val="24"/>
          <w:szCs w:val="24"/>
        </w:rPr>
        <w:t xml:space="preserve">foi formulado </w:t>
      </w:r>
      <w:r w:rsidR="00D23619" w:rsidRPr="00B80B7F">
        <w:rPr>
          <w:sz w:val="24"/>
          <w:szCs w:val="24"/>
        </w:rPr>
        <w:t xml:space="preserve">pela </w:t>
      </w:r>
      <w:r w:rsidR="005E2D42">
        <w:rPr>
          <w:sz w:val="24"/>
          <w:szCs w:val="24"/>
        </w:rPr>
        <w:t>Concessionária</w:t>
      </w:r>
      <w:r w:rsidR="00843C64" w:rsidRPr="00B80B7F">
        <w:rPr>
          <w:sz w:val="24"/>
          <w:szCs w:val="24"/>
        </w:rPr>
        <w:t xml:space="preserve"> </w:t>
      </w:r>
      <w:r w:rsidR="005E2D42">
        <w:rPr>
          <w:sz w:val="24"/>
          <w:szCs w:val="24"/>
        </w:rPr>
        <w:t xml:space="preserve">e </w:t>
      </w:r>
      <w:r w:rsidR="00843C64" w:rsidRPr="00B80B7F">
        <w:rPr>
          <w:sz w:val="24"/>
          <w:szCs w:val="24"/>
        </w:rPr>
        <w:t xml:space="preserve">encaminhada </w:t>
      </w:r>
      <w:r w:rsidR="00EB14F3" w:rsidRPr="00B80B7F">
        <w:rPr>
          <w:sz w:val="24"/>
          <w:szCs w:val="24"/>
        </w:rPr>
        <w:t xml:space="preserve">ao </w:t>
      </w:r>
      <w:r w:rsidR="00843C64" w:rsidRPr="00B80B7F">
        <w:rPr>
          <w:sz w:val="24"/>
          <w:szCs w:val="24"/>
        </w:rPr>
        <w:t xml:space="preserve">Município de </w:t>
      </w:r>
      <w:proofErr w:type="spellStart"/>
      <w:r w:rsidR="005E2D42">
        <w:rPr>
          <w:sz w:val="24"/>
          <w:szCs w:val="24"/>
        </w:rPr>
        <w:t>Apiúna</w:t>
      </w:r>
      <w:proofErr w:type="spellEnd"/>
      <w:r w:rsidR="005E2D42">
        <w:rPr>
          <w:sz w:val="24"/>
          <w:szCs w:val="24"/>
        </w:rPr>
        <w:t xml:space="preserve">, </w:t>
      </w:r>
      <w:r w:rsidR="00EB14F3" w:rsidRPr="00B80B7F">
        <w:rPr>
          <w:sz w:val="24"/>
          <w:szCs w:val="24"/>
        </w:rPr>
        <w:t>sendo por</w:t>
      </w:r>
      <w:r w:rsidR="00B80B7F">
        <w:rPr>
          <w:sz w:val="24"/>
          <w:szCs w:val="24"/>
        </w:rPr>
        <w:t xml:space="preserve"> este</w:t>
      </w:r>
      <w:r w:rsidR="00EB14F3" w:rsidRPr="00B80B7F">
        <w:rPr>
          <w:sz w:val="24"/>
          <w:szCs w:val="24"/>
        </w:rPr>
        <w:t xml:space="preserve"> </w:t>
      </w:r>
      <w:r w:rsidR="00162894" w:rsidRPr="00B80B7F">
        <w:rPr>
          <w:sz w:val="24"/>
          <w:szCs w:val="24"/>
        </w:rPr>
        <w:t xml:space="preserve">submetido </w:t>
      </w:r>
      <w:r w:rsidR="00BC11D8" w:rsidRPr="00B80B7F">
        <w:rPr>
          <w:sz w:val="24"/>
          <w:szCs w:val="24"/>
        </w:rPr>
        <w:t>à</w:t>
      </w:r>
      <w:r w:rsidR="00162894" w:rsidRPr="00B80B7F">
        <w:rPr>
          <w:sz w:val="24"/>
          <w:szCs w:val="24"/>
        </w:rPr>
        <w:t xml:space="preserve"> análise desta</w:t>
      </w:r>
      <w:r w:rsidR="00843C64" w:rsidRPr="00B80B7F">
        <w:rPr>
          <w:sz w:val="24"/>
          <w:szCs w:val="24"/>
        </w:rPr>
        <w:t xml:space="preserve"> Ag</w:t>
      </w:r>
      <w:r w:rsidR="00162894" w:rsidRPr="00B80B7F">
        <w:rPr>
          <w:sz w:val="24"/>
          <w:szCs w:val="24"/>
        </w:rPr>
        <w:t>ê</w:t>
      </w:r>
      <w:r w:rsidR="00843C64" w:rsidRPr="00B80B7F">
        <w:rPr>
          <w:sz w:val="24"/>
          <w:szCs w:val="24"/>
        </w:rPr>
        <w:t>ncia de Regulação,</w:t>
      </w:r>
      <w:r w:rsidR="00D23619" w:rsidRPr="00B80B7F">
        <w:rPr>
          <w:sz w:val="24"/>
          <w:szCs w:val="24"/>
        </w:rPr>
        <w:t xml:space="preserve"> </w:t>
      </w:r>
      <w:r w:rsidR="00932039" w:rsidRPr="00B80B7F">
        <w:rPr>
          <w:sz w:val="24"/>
          <w:szCs w:val="24"/>
        </w:rPr>
        <w:t xml:space="preserve">por ter </w:t>
      </w:r>
      <w:r w:rsidR="00B80B7F">
        <w:rPr>
          <w:sz w:val="24"/>
          <w:szCs w:val="24"/>
        </w:rPr>
        <w:t xml:space="preserve">esta </w:t>
      </w:r>
      <w:r w:rsidR="00932039" w:rsidRPr="00B80B7F">
        <w:rPr>
          <w:sz w:val="24"/>
          <w:szCs w:val="24"/>
        </w:rPr>
        <w:t xml:space="preserve">como objeto </w:t>
      </w:r>
      <w:r w:rsidR="00D23619" w:rsidRPr="00B80B7F">
        <w:rPr>
          <w:sz w:val="24"/>
          <w:szCs w:val="24"/>
        </w:rPr>
        <w:t>a regulação</w:t>
      </w:r>
      <w:r w:rsidR="00932039" w:rsidRPr="00B80B7F">
        <w:rPr>
          <w:sz w:val="24"/>
          <w:szCs w:val="24"/>
        </w:rPr>
        <w:t xml:space="preserve"> da </w:t>
      </w:r>
      <w:r w:rsidR="00932039" w:rsidRPr="00B80B7F">
        <w:rPr>
          <w:color w:val="000000"/>
          <w:sz w:val="24"/>
          <w:szCs w:val="24"/>
        </w:rPr>
        <w:t xml:space="preserve">prestação dos serviços </w:t>
      </w:r>
      <w:r w:rsidR="00932039" w:rsidRPr="00B80B7F">
        <w:rPr>
          <w:sz w:val="24"/>
          <w:szCs w:val="24"/>
        </w:rPr>
        <w:t xml:space="preserve">de </w:t>
      </w:r>
      <w:r w:rsidR="007262F7" w:rsidRPr="00B80B7F">
        <w:rPr>
          <w:color w:val="000000"/>
          <w:sz w:val="24"/>
          <w:szCs w:val="24"/>
        </w:rPr>
        <w:t xml:space="preserve">transporte público coletivo </w:t>
      </w:r>
      <w:r w:rsidR="00932039" w:rsidRPr="00B80B7F">
        <w:rPr>
          <w:color w:val="000000"/>
          <w:sz w:val="24"/>
          <w:szCs w:val="24"/>
        </w:rPr>
        <w:t xml:space="preserve">nos termos da Lei Federal nº 12.587, de 3 de janeiro de 2012, bem como, a ratificação do Novo Protocolo de Intenções, pelo Município de </w:t>
      </w:r>
      <w:proofErr w:type="spellStart"/>
      <w:r w:rsidR="005E2D42">
        <w:rPr>
          <w:color w:val="000000"/>
          <w:sz w:val="24"/>
          <w:szCs w:val="24"/>
        </w:rPr>
        <w:t>Apiúna</w:t>
      </w:r>
      <w:proofErr w:type="spellEnd"/>
      <w:r w:rsidR="005E2D42">
        <w:rPr>
          <w:color w:val="000000"/>
          <w:sz w:val="24"/>
          <w:szCs w:val="24"/>
        </w:rPr>
        <w:t xml:space="preserve">, </w:t>
      </w:r>
      <w:r w:rsidR="00932039" w:rsidRPr="00B80B7F">
        <w:rPr>
          <w:color w:val="000000"/>
          <w:sz w:val="24"/>
          <w:szCs w:val="24"/>
        </w:rPr>
        <w:t xml:space="preserve">através da Lei </w:t>
      </w:r>
      <w:r w:rsidR="005E2D42">
        <w:rPr>
          <w:color w:val="000000"/>
          <w:sz w:val="24"/>
          <w:szCs w:val="24"/>
        </w:rPr>
        <w:t xml:space="preserve">Complementar </w:t>
      </w:r>
      <w:r w:rsidR="00932039" w:rsidRPr="00B80B7F">
        <w:rPr>
          <w:color w:val="000000"/>
          <w:sz w:val="24"/>
          <w:szCs w:val="24"/>
        </w:rPr>
        <w:t xml:space="preserve">Municipal n° </w:t>
      </w:r>
      <w:r w:rsidR="005E2D42">
        <w:rPr>
          <w:color w:val="000000"/>
          <w:sz w:val="24"/>
          <w:szCs w:val="24"/>
        </w:rPr>
        <w:t>167 de 11 de abril de 2017</w:t>
      </w:r>
      <w:r w:rsidR="00674170">
        <w:rPr>
          <w:color w:val="000000"/>
          <w:sz w:val="24"/>
          <w:szCs w:val="24"/>
        </w:rPr>
        <w:t xml:space="preserve">. </w:t>
      </w:r>
      <w:r w:rsidR="00397428">
        <w:rPr>
          <w:color w:val="000000"/>
          <w:sz w:val="24"/>
          <w:szCs w:val="24"/>
        </w:rPr>
        <w:t xml:space="preserve"> </w:t>
      </w:r>
    </w:p>
    <w:p w:rsidR="00674170" w:rsidRDefault="00674170" w:rsidP="00674170">
      <w:pPr>
        <w:pStyle w:val="Recuodecorpodetexto"/>
        <w:spacing w:after="0" w:line="360" w:lineRule="auto"/>
        <w:ind w:left="0" w:firstLine="1701"/>
        <w:jc w:val="both"/>
        <w:rPr>
          <w:color w:val="000000"/>
          <w:sz w:val="24"/>
          <w:szCs w:val="24"/>
        </w:rPr>
      </w:pPr>
    </w:p>
    <w:p w:rsidR="005E2D42" w:rsidRPr="005E2D42" w:rsidRDefault="00674170" w:rsidP="005E2D42">
      <w:pPr>
        <w:spacing w:after="0" w:line="360" w:lineRule="auto"/>
        <w:ind w:firstLine="1701"/>
        <w:jc w:val="both"/>
        <w:rPr>
          <w:rFonts w:ascii="Times New Roman" w:hAnsi="Times New Roman"/>
          <w:sz w:val="24"/>
          <w:szCs w:val="24"/>
        </w:rPr>
      </w:pPr>
      <w:r>
        <w:rPr>
          <w:rFonts w:ascii="Times New Roman" w:hAnsi="Times New Roman"/>
          <w:color w:val="000000"/>
          <w:sz w:val="24"/>
          <w:szCs w:val="24"/>
        </w:rPr>
        <w:t>C</w:t>
      </w:r>
      <w:r w:rsidR="009C520F">
        <w:rPr>
          <w:rFonts w:ascii="Times New Roman" w:hAnsi="Times New Roman"/>
          <w:color w:val="000000"/>
          <w:sz w:val="24"/>
          <w:szCs w:val="24"/>
        </w:rPr>
        <w:t>onstata-se que</w:t>
      </w:r>
      <w:r w:rsidR="005E2D42" w:rsidRPr="005E2D42">
        <w:rPr>
          <w:rFonts w:ascii="Times New Roman" w:hAnsi="Times New Roman"/>
          <w:color w:val="000000"/>
          <w:sz w:val="24"/>
          <w:szCs w:val="24"/>
        </w:rPr>
        <w:t xml:space="preserve"> </w:t>
      </w:r>
      <w:r w:rsidR="005E2D42">
        <w:rPr>
          <w:rFonts w:ascii="Times New Roman" w:hAnsi="Times New Roman"/>
          <w:color w:val="000000"/>
          <w:sz w:val="24"/>
          <w:szCs w:val="24"/>
        </w:rPr>
        <w:t>a</w:t>
      </w:r>
      <w:r w:rsidR="005E2D42" w:rsidRPr="005E2D42">
        <w:rPr>
          <w:rFonts w:ascii="Times New Roman" w:hAnsi="Times New Roman"/>
          <w:sz w:val="24"/>
          <w:szCs w:val="24"/>
        </w:rPr>
        <w:t xml:space="preserve"> Concessionária</w:t>
      </w:r>
      <w:r w:rsidR="005E2D42">
        <w:rPr>
          <w:rFonts w:ascii="Times New Roman" w:hAnsi="Times New Roman"/>
          <w:sz w:val="24"/>
          <w:szCs w:val="24"/>
        </w:rPr>
        <w:t xml:space="preserve"> pleiteia o</w:t>
      </w:r>
      <w:r w:rsidR="005E2D42" w:rsidRPr="005E2D42">
        <w:rPr>
          <w:rFonts w:ascii="Times New Roman" w:hAnsi="Times New Roman"/>
          <w:sz w:val="24"/>
          <w:szCs w:val="24"/>
        </w:rPr>
        <w:t xml:space="preserve"> Reajuste Tarifário</w:t>
      </w:r>
      <w:r w:rsidR="005E2D42">
        <w:rPr>
          <w:rFonts w:ascii="Times New Roman" w:hAnsi="Times New Roman"/>
          <w:sz w:val="24"/>
          <w:szCs w:val="24"/>
        </w:rPr>
        <w:t xml:space="preserve"> - RT</w:t>
      </w:r>
      <w:r w:rsidR="005E2D42" w:rsidRPr="005E2D42">
        <w:rPr>
          <w:rFonts w:ascii="Times New Roman" w:hAnsi="Times New Roman"/>
          <w:sz w:val="24"/>
          <w:szCs w:val="24"/>
        </w:rPr>
        <w:t xml:space="preserve"> de </w:t>
      </w:r>
      <w:r w:rsidR="005E2D42" w:rsidRPr="005E2D42">
        <w:rPr>
          <w:rFonts w:ascii="Times New Roman" w:hAnsi="Times New Roman"/>
          <w:b/>
          <w:sz w:val="24"/>
          <w:szCs w:val="24"/>
        </w:rPr>
        <w:t>9,59%</w:t>
      </w:r>
      <w:r w:rsidR="005E2D42" w:rsidRPr="005E2D42">
        <w:rPr>
          <w:rFonts w:ascii="Times New Roman" w:hAnsi="Times New Roman"/>
          <w:sz w:val="24"/>
          <w:szCs w:val="24"/>
        </w:rPr>
        <w:t xml:space="preserve"> (nove vírgula cinquenta e nove por cento)</w:t>
      </w:r>
      <w:r w:rsidR="005E2D42">
        <w:rPr>
          <w:rFonts w:ascii="Times New Roman" w:hAnsi="Times New Roman"/>
          <w:sz w:val="24"/>
          <w:szCs w:val="24"/>
        </w:rPr>
        <w:t xml:space="preserve">, </w:t>
      </w:r>
      <w:r w:rsidR="009C520F">
        <w:rPr>
          <w:rFonts w:ascii="Times New Roman" w:hAnsi="Times New Roman"/>
          <w:sz w:val="24"/>
          <w:szCs w:val="24"/>
        </w:rPr>
        <w:t xml:space="preserve">referente ao período de maio/2018 </w:t>
      </w:r>
      <w:r w:rsidR="00E103CB">
        <w:rPr>
          <w:rFonts w:ascii="Times New Roman" w:hAnsi="Times New Roman"/>
          <w:sz w:val="24"/>
          <w:szCs w:val="24"/>
        </w:rPr>
        <w:t>a</w:t>
      </w:r>
      <w:r w:rsidR="009C520F">
        <w:rPr>
          <w:rFonts w:ascii="Times New Roman" w:hAnsi="Times New Roman"/>
          <w:sz w:val="24"/>
          <w:szCs w:val="24"/>
        </w:rPr>
        <w:t xml:space="preserve"> abril/2019, </w:t>
      </w:r>
      <w:r w:rsidR="00BF20B2">
        <w:rPr>
          <w:rFonts w:ascii="Times New Roman" w:hAnsi="Times New Roman"/>
          <w:sz w:val="24"/>
          <w:szCs w:val="24"/>
        </w:rPr>
        <w:t>através d</w:t>
      </w:r>
      <w:r>
        <w:rPr>
          <w:rFonts w:ascii="Times New Roman" w:hAnsi="Times New Roman"/>
          <w:sz w:val="24"/>
          <w:szCs w:val="24"/>
        </w:rPr>
        <w:t>e</w:t>
      </w:r>
      <w:r w:rsidR="005E2D42" w:rsidRPr="005E2D42">
        <w:rPr>
          <w:rFonts w:ascii="Times New Roman" w:hAnsi="Times New Roman"/>
          <w:sz w:val="24"/>
          <w:szCs w:val="24"/>
        </w:rPr>
        <w:t xml:space="preserve"> pedido </w:t>
      </w:r>
      <w:r w:rsidR="00BF20B2">
        <w:rPr>
          <w:rFonts w:ascii="Times New Roman" w:hAnsi="Times New Roman"/>
          <w:sz w:val="24"/>
          <w:szCs w:val="24"/>
        </w:rPr>
        <w:t xml:space="preserve">fundamentado, composto pela apresentação da </w:t>
      </w:r>
      <w:r w:rsidR="005E2D42" w:rsidRPr="005E2D42">
        <w:rPr>
          <w:rFonts w:ascii="Times New Roman" w:hAnsi="Times New Roman"/>
          <w:sz w:val="24"/>
          <w:szCs w:val="24"/>
        </w:rPr>
        <w:t xml:space="preserve">planilha de custo de passageiros prevista no </w:t>
      </w:r>
      <w:r w:rsidR="009C520F">
        <w:rPr>
          <w:rFonts w:ascii="Times New Roman" w:hAnsi="Times New Roman"/>
          <w:sz w:val="24"/>
          <w:szCs w:val="24"/>
        </w:rPr>
        <w:t xml:space="preserve">já citado </w:t>
      </w:r>
      <w:r w:rsidR="005E2D42" w:rsidRPr="005E2D42">
        <w:rPr>
          <w:rFonts w:ascii="Times New Roman" w:hAnsi="Times New Roman"/>
          <w:sz w:val="24"/>
          <w:szCs w:val="24"/>
        </w:rPr>
        <w:t>Contrato</w:t>
      </w:r>
      <w:r w:rsidR="00BF20B2">
        <w:rPr>
          <w:rFonts w:ascii="Times New Roman" w:hAnsi="Times New Roman"/>
          <w:sz w:val="24"/>
          <w:szCs w:val="24"/>
        </w:rPr>
        <w:t>.</w:t>
      </w:r>
    </w:p>
    <w:p w:rsidR="005E2D42" w:rsidRPr="009C520F" w:rsidRDefault="005E2D42" w:rsidP="009C520F">
      <w:pPr>
        <w:pStyle w:val="Recuodecorpodetexto"/>
        <w:spacing w:after="0" w:line="360" w:lineRule="auto"/>
        <w:ind w:left="0" w:firstLine="1701"/>
        <w:jc w:val="both"/>
        <w:rPr>
          <w:sz w:val="24"/>
          <w:szCs w:val="24"/>
        </w:rPr>
      </w:pPr>
    </w:p>
    <w:p w:rsidR="00E4107E" w:rsidRDefault="00A65F92" w:rsidP="00E4107E">
      <w:pPr>
        <w:spacing w:after="0" w:line="360" w:lineRule="auto"/>
        <w:ind w:firstLine="1701"/>
        <w:jc w:val="both"/>
        <w:rPr>
          <w:rFonts w:ascii="Times New Roman" w:hAnsi="Times New Roman"/>
          <w:sz w:val="24"/>
          <w:szCs w:val="24"/>
        </w:rPr>
      </w:pPr>
      <w:r w:rsidRPr="00E4107E">
        <w:rPr>
          <w:rFonts w:ascii="Times New Roman" w:hAnsi="Times New Roman"/>
          <w:sz w:val="24"/>
          <w:szCs w:val="24"/>
        </w:rPr>
        <w:t xml:space="preserve">Registra-se que o pleito </w:t>
      </w:r>
      <w:r w:rsidR="00397428" w:rsidRPr="00E4107E">
        <w:rPr>
          <w:rFonts w:ascii="Times New Roman" w:hAnsi="Times New Roman"/>
          <w:sz w:val="24"/>
          <w:szCs w:val="24"/>
        </w:rPr>
        <w:t>foi autuado</w:t>
      </w:r>
      <w:r w:rsidRPr="00E4107E">
        <w:rPr>
          <w:rFonts w:ascii="Times New Roman" w:hAnsi="Times New Roman"/>
          <w:sz w:val="24"/>
          <w:szCs w:val="24"/>
        </w:rPr>
        <w:t xml:space="preserve"> pela Gerência solicitante, </w:t>
      </w:r>
      <w:r w:rsidR="00397428" w:rsidRPr="00E4107E">
        <w:rPr>
          <w:rFonts w:ascii="Times New Roman" w:hAnsi="Times New Roman"/>
          <w:sz w:val="24"/>
          <w:szCs w:val="24"/>
        </w:rPr>
        <w:t>a</w:t>
      </w:r>
      <w:r w:rsidR="00B80B7F" w:rsidRPr="00E4107E">
        <w:rPr>
          <w:rFonts w:ascii="Times New Roman" w:hAnsi="Times New Roman"/>
          <w:sz w:val="24"/>
          <w:szCs w:val="24"/>
        </w:rPr>
        <w:t xml:space="preserve"> qual </w:t>
      </w:r>
      <w:r w:rsidR="00397428" w:rsidRPr="00E4107E">
        <w:rPr>
          <w:rFonts w:ascii="Times New Roman" w:hAnsi="Times New Roman"/>
          <w:sz w:val="24"/>
          <w:szCs w:val="24"/>
        </w:rPr>
        <w:t xml:space="preserve">em análise </w:t>
      </w:r>
      <w:r w:rsidR="009C520F" w:rsidRPr="00E4107E">
        <w:rPr>
          <w:rFonts w:ascii="Times New Roman" w:hAnsi="Times New Roman"/>
          <w:sz w:val="24"/>
          <w:szCs w:val="24"/>
        </w:rPr>
        <w:t>primária</w:t>
      </w:r>
      <w:r w:rsidR="00397428" w:rsidRPr="00E4107E">
        <w:rPr>
          <w:rFonts w:ascii="Times New Roman" w:hAnsi="Times New Roman"/>
          <w:sz w:val="24"/>
          <w:szCs w:val="24"/>
        </w:rPr>
        <w:t xml:space="preserve"> requereu complementação </w:t>
      </w:r>
      <w:r w:rsidR="00BF20B2" w:rsidRPr="00E4107E">
        <w:rPr>
          <w:rFonts w:ascii="Times New Roman" w:hAnsi="Times New Roman"/>
          <w:sz w:val="24"/>
          <w:szCs w:val="24"/>
        </w:rPr>
        <w:t xml:space="preserve">de informações às partes, e após </w:t>
      </w:r>
      <w:r w:rsidR="00397428" w:rsidRPr="00E4107E">
        <w:rPr>
          <w:rFonts w:ascii="Times New Roman" w:hAnsi="Times New Roman"/>
          <w:sz w:val="24"/>
          <w:szCs w:val="24"/>
        </w:rPr>
        <w:t>detida análise dos itens que com</w:t>
      </w:r>
      <w:r w:rsidR="009C520F" w:rsidRPr="00E4107E">
        <w:rPr>
          <w:rFonts w:ascii="Times New Roman" w:hAnsi="Times New Roman"/>
          <w:sz w:val="24"/>
          <w:szCs w:val="24"/>
        </w:rPr>
        <w:t xml:space="preserve">põe a Planilha de Custos </w:t>
      </w:r>
      <w:r w:rsidR="009C520F" w:rsidRPr="00E4107E">
        <w:rPr>
          <w:rFonts w:ascii="Times New Roman" w:hAnsi="Times New Roman"/>
          <w:bCs/>
          <w:sz w:val="24"/>
          <w:szCs w:val="24"/>
        </w:rPr>
        <w:t>definida no Anexo II do Contrato de Concessão nº43/2008</w:t>
      </w:r>
      <w:r w:rsidR="00674170" w:rsidRPr="00E4107E">
        <w:rPr>
          <w:rFonts w:ascii="Times New Roman" w:hAnsi="Times New Roman"/>
          <w:bCs/>
          <w:sz w:val="24"/>
          <w:szCs w:val="24"/>
        </w:rPr>
        <w:t xml:space="preserve"> e Aditivo</w:t>
      </w:r>
      <w:r w:rsidR="009C520F" w:rsidRPr="00E4107E">
        <w:rPr>
          <w:rFonts w:ascii="Times New Roman" w:hAnsi="Times New Roman"/>
          <w:bCs/>
          <w:sz w:val="24"/>
          <w:szCs w:val="24"/>
        </w:rPr>
        <w:t>, acima citad</w:t>
      </w:r>
      <w:r w:rsidR="00674170" w:rsidRPr="00E4107E">
        <w:rPr>
          <w:rFonts w:ascii="Times New Roman" w:hAnsi="Times New Roman"/>
          <w:bCs/>
          <w:sz w:val="24"/>
          <w:szCs w:val="24"/>
        </w:rPr>
        <w:t>os</w:t>
      </w:r>
      <w:r w:rsidR="009C520F" w:rsidRPr="00E4107E">
        <w:rPr>
          <w:rFonts w:ascii="Times New Roman" w:hAnsi="Times New Roman"/>
          <w:bCs/>
          <w:sz w:val="24"/>
          <w:szCs w:val="24"/>
        </w:rPr>
        <w:t>, definiu os valores a serem considerados para a concessão d</w:t>
      </w:r>
      <w:r w:rsidR="00674170" w:rsidRPr="00E4107E">
        <w:rPr>
          <w:rFonts w:ascii="Times New Roman" w:hAnsi="Times New Roman"/>
          <w:bCs/>
          <w:sz w:val="24"/>
          <w:szCs w:val="24"/>
        </w:rPr>
        <w:t>a</w:t>
      </w:r>
      <w:r w:rsidR="009C520F" w:rsidRPr="00E4107E">
        <w:rPr>
          <w:rFonts w:ascii="Times New Roman" w:hAnsi="Times New Roman"/>
          <w:bCs/>
          <w:sz w:val="24"/>
          <w:szCs w:val="24"/>
        </w:rPr>
        <w:t xml:space="preserve"> RT</w:t>
      </w:r>
      <w:r w:rsidR="00E4107E">
        <w:rPr>
          <w:rFonts w:ascii="Times New Roman" w:hAnsi="Times New Roman"/>
          <w:bCs/>
          <w:sz w:val="24"/>
          <w:szCs w:val="24"/>
        </w:rPr>
        <w:t xml:space="preserve"> – Quadro 08</w:t>
      </w:r>
      <w:r w:rsidR="00674170" w:rsidRPr="00E4107E">
        <w:rPr>
          <w:rFonts w:ascii="Times New Roman" w:hAnsi="Times New Roman"/>
          <w:bCs/>
          <w:sz w:val="24"/>
          <w:szCs w:val="24"/>
        </w:rPr>
        <w:t xml:space="preserve"> do Parecer Administrativo nº 081/2019, de </w:t>
      </w:r>
      <w:r w:rsidR="00674170" w:rsidRPr="00E4107E">
        <w:rPr>
          <w:rFonts w:ascii="Times New Roman" w:hAnsi="Times New Roman"/>
          <w:sz w:val="24"/>
          <w:szCs w:val="24"/>
        </w:rPr>
        <w:t>lavra conjunta do Gerente de Transportes e do Economista desta Agência de Regulação, que passa a integrar o presente Parecer</w:t>
      </w:r>
      <w:r w:rsidR="00E4107E">
        <w:rPr>
          <w:rFonts w:ascii="Times New Roman" w:hAnsi="Times New Roman"/>
          <w:sz w:val="24"/>
          <w:szCs w:val="24"/>
        </w:rPr>
        <w:t>.</w:t>
      </w:r>
    </w:p>
    <w:p w:rsidR="00E4107E" w:rsidRDefault="00E4107E" w:rsidP="0014613C">
      <w:pPr>
        <w:tabs>
          <w:tab w:val="left" w:pos="2552"/>
        </w:tabs>
        <w:spacing w:after="0" w:line="360" w:lineRule="auto"/>
        <w:ind w:firstLine="1701"/>
        <w:jc w:val="both"/>
        <w:rPr>
          <w:rFonts w:ascii="Times New Roman" w:hAnsi="Times New Roman"/>
          <w:sz w:val="24"/>
          <w:szCs w:val="24"/>
        </w:rPr>
      </w:pPr>
      <w:r>
        <w:rPr>
          <w:rFonts w:ascii="Times New Roman" w:hAnsi="Times New Roman"/>
          <w:sz w:val="24"/>
          <w:szCs w:val="24"/>
        </w:rPr>
        <w:t xml:space="preserve">O estudo realizado pela equipe técnica da AGIR, concluiu </w:t>
      </w:r>
      <w:r w:rsidRPr="00E4107E">
        <w:rPr>
          <w:rFonts w:ascii="Times New Roman" w:hAnsi="Times New Roman"/>
          <w:sz w:val="24"/>
          <w:szCs w:val="24"/>
        </w:rPr>
        <w:t xml:space="preserve">pela aplicação do percentual de </w:t>
      </w:r>
      <w:r w:rsidRPr="00E4107E">
        <w:rPr>
          <w:rFonts w:ascii="Times New Roman" w:hAnsi="Times New Roman"/>
          <w:b/>
          <w:bCs/>
          <w:sz w:val="24"/>
          <w:szCs w:val="24"/>
        </w:rPr>
        <w:t>4,86%</w:t>
      </w:r>
      <w:r w:rsidRPr="00E4107E">
        <w:rPr>
          <w:rFonts w:ascii="Times New Roman" w:hAnsi="Times New Roman"/>
          <w:sz w:val="24"/>
          <w:szCs w:val="24"/>
        </w:rPr>
        <w:t xml:space="preserve"> (quatro virgula oitenta e seis por cento)</w:t>
      </w:r>
      <w:r>
        <w:rPr>
          <w:rFonts w:ascii="Times New Roman" w:hAnsi="Times New Roman"/>
          <w:sz w:val="24"/>
          <w:szCs w:val="24"/>
        </w:rPr>
        <w:t xml:space="preserve"> para o reajuste da tarifa para serviço de transporte público coletivo do município de </w:t>
      </w:r>
      <w:proofErr w:type="spellStart"/>
      <w:r>
        <w:rPr>
          <w:rFonts w:ascii="Times New Roman" w:hAnsi="Times New Roman"/>
          <w:sz w:val="24"/>
          <w:szCs w:val="24"/>
        </w:rPr>
        <w:t>Apiúna</w:t>
      </w:r>
      <w:proofErr w:type="spellEnd"/>
      <w:r>
        <w:rPr>
          <w:rFonts w:ascii="Times New Roman" w:hAnsi="Times New Roman"/>
          <w:sz w:val="24"/>
          <w:szCs w:val="24"/>
        </w:rPr>
        <w:t xml:space="preserve">, </w:t>
      </w:r>
      <w:r w:rsidR="0014613C">
        <w:rPr>
          <w:rFonts w:ascii="Times New Roman" w:hAnsi="Times New Roman"/>
          <w:sz w:val="24"/>
          <w:szCs w:val="24"/>
        </w:rPr>
        <w:t>como se depreende do item 6 – Conclusões e Recomendações, que transcrevemos:</w:t>
      </w:r>
    </w:p>
    <w:p w:rsidR="0014613C" w:rsidRPr="0014613C" w:rsidRDefault="0014613C" w:rsidP="0014613C">
      <w:pPr>
        <w:pStyle w:val="Ttulo1"/>
        <w:keepLines/>
        <w:numPr>
          <w:ilvl w:val="0"/>
          <w:numId w:val="11"/>
        </w:numPr>
        <w:tabs>
          <w:tab w:val="left" w:pos="2552"/>
        </w:tabs>
        <w:ind w:left="2268" w:firstLine="0"/>
        <w:jc w:val="both"/>
        <w:rPr>
          <w:b w:val="0"/>
          <w:sz w:val="20"/>
          <w:szCs w:val="20"/>
        </w:rPr>
      </w:pPr>
      <w:r w:rsidRPr="0014613C">
        <w:rPr>
          <w:sz w:val="20"/>
          <w:szCs w:val="20"/>
        </w:rPr>
        <w:t>CONCLUSÃO E RECOMENDAÇÕES</w:t>
      </w:r>
    </w:p>
    <w:p w:rsidR="0014613C" w:rsidRPr="0014613C" w:rsidRDefault="0014613C" w:rsidP="0014613C">
      <w:pPr>
        <w:tabs>
          <w:tab w:val="left" w:pos="2552"/>
        </w:tabs>
        <w:spacing w:after="0" w:line="240" w:lineRule="auto"/>
        <w:ind w:left="2268"/>
        <w:rPr>
          <w:rFonts w:ascii="Times New Roman" w:hAnsi="Times New Roman"/>
          <w:sz w:val="20"/>
          <w:szCs w:val="20"/>
        </w:rPr>
      </w:pPr>
      <w:r w:rsidRPr="0014613C">
        <w:rPr>
          <w:rFonts w:ascii="Times New Roman" w:hAnsi="Times New Roman"/>
          <w:sz w:val="20"/>
          <w:szCs w:val="20"/>
        </w:rPr>
        <w:t>A Gerência de Controle, Regulação e Fiscalização de Transporte Coletivo e demais Serviços Públicos da AGIR recomenda:</w:t>
      </w:r>
    </w:p>
    <w:p w:rsidR="00E103CB" w:rsidRPr="00E103CB" w:rsidRDefault="00E103CB" w:rsidP="00E103CB">
      <w:pPr>
        <w:pStyle w:val="PargrafodaLista"/>
        <w:numPr>
          <w:ilvl w:val="0"/>
          <w:numId w:val="13"/>
        </w:numPr>
        <w:tabs>
          <w:tab w:val="left" w:pos="2552"/>
        </w:tabs>
        <w:spacing w:after="0" w:line="240" w:lineRule="auto"/>
        <w:jc w:val="both"/>
        <w:rPr>
          <w:rFonts w:ascii="Times New Roman" w:hAnsi="Times New Roman" w:cs="Times New Roman"/>
          <w:sz w:val="20"/>
          <w:szCs w:val="20"/>
        </w:rPr>
      </w:pPr>
      <w:r w:rsidRPr="00E103CB">
        <w:rPr>
          <w:rFonts w:ascii="Times New Roman" w:hAnsi="Times New Roman" w:cs="Times New Roman"/>
          <w:sz w:val="20"/>
          <w:szCs w:val="20"/>
        </w:rPr>
        <w:t>O indeferimento da solicitação de 9,59% de reajuste;</w:t>
      </w:r>
    </w:p>
    <w:p w:rsidR="00E103CB" w:rsidRPr="00E103CB" w:rsidRDefault="00E103CB" w:rsidP="00E103CB">
      <w:pPr>
        <w:pStyle w:val="PargrafodaLista"/>
        <w:numPr>
          <w:ilvl w:val="0"/>
          <w:numId w:val="13"/>
        </w:numPr>
        <w:tabs>
          <w:tab w:val="left" w:pos="2552"/>
        </w:tabs>
        <w:spacing w:after="0" w:line="240" w:lineRule="auto"/>
        <w:jc w:val="both"/>
        <w:rPr>
          <w:rFonts w:ascii="Times New Roman" w:hAnsi="Times New Roman" w:cs="Times New Roman"/>
          <w:sz w:val="20"/>
          <w:szCs w:val="20"/>
        </w:rPr>
      </w:pPr>
      <w:r w:rsidRPr="00E103CB">
        <w:rPr>
          <w:rFonts w:ascii="Times New Roman" w:hAnsi="Times New Roman" w:cs="Times New Roman"/>
          <w:sz w:val="20"/>
          <w:szCs w:val="20"/>
        </w:rPr>
        <w:t>O indeferimento da solicitação de 7,06% de reajuste;</w:t>
      </w:r>
    </w:p>
    <w:p w:rsidR="00E103CB" w:rsidRPr="00E103CB" w:rsidRDefault="00E103CB" w:rsidP="00E103CB">
      <w:pPr>
        <w:pStyle w:val="PargrafodaLista"/>
        <w:numPr>
          <w:ilvl w:val="0"/>
          <w:numId w:val="13"/>
        </w:numPr>
        <w:tabs>
          <w:tab w:val="left" w:pos="2552"/>
        </w:tabs>
        <w:spacing w:after="0" w:line="240" w:lineRule="auto"/>
        <w:jc w:val="both"/>
        <w:rPr>
          <w:rFonts w:ascii="Times New Roman" w:hAnsi="Times New Roman" w:cs="Times New Roman"/>
          <w:sz w:val="20"/>
          <w:szCs w:val="20"/>
        </w:rPr>
      </w:pPr>
      <w:r w:rsidRPr="00E103CB">
        <w:rPr>
          <w:rFonts w:ascii="Times New Roman" w:hAnsi="Times New Roman" w:cs="Times New Roman"/>
          <w:sz w:val="20"/>
          <w:szCs w:val="20"/>
        </w:rPr>
        <w:t xml:space="preserve">A aplicação de reajuste linear da tarifa para o serviço de transporte público coletivo do município de </w:t>
      </w:r>
      <w:proofErr w:type="spellStart"/>
      <w:r w:rsidRPr="00E103CB">
        <w:rPr>
          <w:rFonts w:ascii="Times New Roman" w:hAnsi="Times New Roman" w:cs="Times New Roman"/>
          <w:sz w:val="20"/>
          <w:szCs w:val="20"/>
        </w:rPr>
        <w:t>Apiúna</w:t>
      </w:r>
      <w:proofErr w:type="spellEnd"/>
      <w:r w:rsidRPr="00E103CB">
        <w:rPr>
          <w:rFonts w:ascii="Times New Roman" w:hAnsi="Times New Roman" w:cs="Times New Roman"/>
          <w:sz w:val="20"/>
          <w:szCs w:val="20"/>
        </w:rPr>
        <w:t xml:space="preserve"> no percentual de 4,86% (quatro virgula oitenta e seis por cento);</w:t>
      </w:r>
    </w:p>
    <w:p w:rsidR="00E103CB" w:rsidRPr="00E103CB" w:rsidRDefault="00E103CB" w:rsidP="00E103CB">
      <w:pPr>
        <w:pStyle w:val="PargrafodaLista"/>
        <w:numPr>
          <w:ilvl w:val="0"/>
          <w:numId w:val="13"/>
        </w:numPr>
        <w:tabs>
          <w:tab w:val="left" w:pos="2552"/>
        </w:tabs>
        <w:spacing w:after="0" w:line="240" w:lineRule="auto"/>
        <w:jc w:val="both"/>
        <w:rPr>
          <w:rFonts w:ascii="Times New Roman" w:hAnsi="Times New Roman" w:cs="Times New Roman"/>
          <w:sz w:val="20"/>
          <w:szCs w:val="20"/>
        </w:rPr>
      </w:pPr>
      <w:r w:rsidRPr="00E103CB">
        <w:rPr>
          <w:rFonts w:ascii="Times New Roman" w:hAnsi="Times New Roman" w:cs="Times New Roman"/>
          <w:sz w:val="20"/>
          <w:szCs w:val="20"/>
        </w:rPr>
        <w:t>Que seja fiscalizado pelo Concedente o a execução da quilometragem percorrida por mês pela Concessionária;</w:t>
      </w:r>
    </w:p>
    <w:p w:rsidR="00E103CB" w:rsidRPr="00E103CB" w:rsidRDefault="00E103CB" w:rsidP="00E103CB">
      <w:pPr>
        <w:pStyle w:val="PargrafodaLista"/>
        <w:numPr>
          <w:ilvl w:val="0"/>
          <w:numId w:val="13"/>
        </w:numPr>
        <w:tabs>
          <w:tab w:val="left" w:pos="2552"/>
        </w:tabs>
        <w:spacing w:after="0" w:line="240" w:lineRule="auto"/>
        <w:jc w:val="both"/>
        <w:rPr>
          <w:rFonts w:ascii="Times New Roman" w:hAnsi="Times New Roman" w:cs="Times New Roman"/>
          <w:sz w:val="20"/>
          <w:szCs w:val="20"/>
        </w:rPr>
      </w:pPr>
      <w:r w:rsidRPr="00E103CB">
        <w:rPr>
          <w:rFonts w:ascii="Times New Roman" w:hAnsi="Times New Roman" w:cs="Times New Roman"/>
          <w:sz w:val="20"/>
          <w:szCs w:val="20"/>
        </w:rPr>
        <w:t xml:space="preserve">Que sejam arquivadas e encaminhadas </w:t>
      </w:r>
      <w:proofErr w:type="spellStart"/>
      <w:r w:rsidRPr="00E103CB">
        <w:rPr>
          <w:rFonts w:ascii="Times New Roman" w:hAnsi="Times New Roman" w:cs="Times New Roman"/>
          <w:sz w:val="20"/>
          <w:szCs w:val="20"/>
        </w:rPr>
        <w:t>a</w:t>
      </w:r>
      <w:proofErr w:type="spellEnd"/>
      <w:r w:rsidRPr="00E103CB">
        <w:rPr>
          <w:rFonts w:ascii="Times New Roman" w:hAnsi="Times New Roman" w:cs="Times New Roman"/>
          <w:sz w:val="20"/>
          <w:szCs w:val="20"/>
        </w:rPr>
        <w:t xml:space="preserve"> está Agência de Regulação as Notas Fiscais que comprovam a aquisição dos insumos constantes na planilha de custos;</w:t>
      </w:r>
    </w:p>
    <w:p w:rsidR="00E103CB" w:rsidRPr="00E103CB" w:rsidRDefault="00E103CB" w:rsidP="00E103CB">
      <w:pPr>
        <w:pStyle w:val="PargrafodaLista"/>
        <w:numPr>
          <w:ilvl w:val="0"/>
          <w:numId w:val="13"/>
        </w:numPr>
        <w:tabs>
          <w:tab w:val="left" w:pos="2552"/>
        </w:tabs>
        <w:spacing w:after="0" w:line="240" w:lineRule="auto"/>
        <w:jc w:val="both"/>
        <w:rPr>
          <w:rFonts w:ascii="Times New Roman" w:hAnsi="Times New Roman" w:cs="Times New Roman"/>
          <w:sz w:val="20"/>
          <w:szCs w:val="20"/>
        </w:rPr>
      </w:pPr>
      <w:r w:rsidRPr="00E103CB">
        <w:rPr>
          <w:rFonts w:ascii="Times New Roman" w:hAnsi="Times New Roman" w:cs="Times New Roman"/>
          <w:sz w:val="20"/>
          <w:szCs w:val="20"/>
        </w:rPr>
        <w:t>Que seja verificada a possibilidade de aquisição de combustível, pela Concessionária, na distribuidora, a fim proporcionar economia à prestação deste serviço ao considerar a diferença de preço praticado ao consumidor; e</w:t>
      </w:r>
    </w:p>
    <w:p w:rsidR="00E103CB" w:rsidRPr="00E103CB" w:rsidRDefault="00E103CB" w:rsidP="00E103CB">
      <w:pPr>
        <w:pStyle w:val="PargrafodaLista"/>
        <w:numPr>
          <w:ilvl w:val="0"/>
          <w:numId w:val="13"/>
        </w:numPr>
        <w:tabs>
          <w:tab w:val="left" w:pos="2552"/>
        </w:tabs>
        <w:spacing w:after="0" w:line="240" w:lineRule="auto"/>
        <w:jc w:val="both"/>
        <w:rPr>
          <w:rFonts w:ascii="Times New Roman" w:hAnsi="Times New Roman" w:cs="Times New Roman"/>
          <w:sz w:val="20"/>
          <w:szCs w:val="20"/>
        </w:rPr>
      </w:pPr>
      <w:r w:rsidRPr="00E103CB">
        <w:rPr>
          <w:rFonts w:ascii="Times New Roman" w:hAnsi="Times New Roman" w:cs="Times New Roman"/>
          <w:sz w:val="20"/>
          <w:szCs w:val="20"/>
        </w:rPr>
        <w:t>Que seja observado o período de divulgação do reajuste aos usuários;</w:t>
      </w:r>
    </w:p>
    <w:p w:rsidR="008B7482" w:rsidRDefault="008B7482" w:rsidP="008B7482">
      <w:pPr>
        <w:pStyle w:val="PargrafodaLista"/>
        <w:tabs>
          <w:tab w:val="left" w:pos="2552"/>
        </w:tabs>
        <w:spacing w:after="0" w:line="240" w:lineRule="auto"/>
        <w:ind w:left="2268"/>
        <w:jc w:val="both"/>
        <w:rPr>
          <w:rFonts w:ascii="Times New Roman" w:hAnsi="Times New Roman"/>
          <w:bCs/>
          <w:sz w:val="24"/>
          <w:szCs w:val="24"/>
        </w:rPr>
      </w:pPr>
    </w:p>
    <w:p w:rsidR="00674170" w:rsidRPr="0067739D" w:rsidRDefault="0014613C" w:rsidP="0014613C">
      <w:pPr>
        <w:spacing w:after="0" w:line="360" w:lineRule="auto"/>
        <w:ind w:firstLine="1701"/>
        <w:jc w:val="both"/>
        <w:rPr>
          <w:rFonts w:ascii="Times New Roman" w:hAnsi="Times New Roman"/>
          <w:color w:val="000000"/>
          <w:sz w:val="24"/>
          <w:szCs w:val="24"/>
        </w:rPr>
      </w:pPr>
      <w:r w:rsidRPr="0067739D">
        <w:rPr>
          <w:rFonts w:ascii="Times New Roman" w:hAnsi="Times New Roman"/>
          <w:bCs/>
          <w:sz w:val="24"/>
          <w:szCs w:val="24"/>
        </w:rPr>
        <w:t xml:space="preserve">Imperioso registrar </w:t>
      </w:r>
      <w:r w:rsidR="0067739D">
        <w:rPr>
          <w:rFonts w:ascii="Times New Roman" w:hAnsi="Times New Roman"/>
          <w:bCs/>
          <w:sz w:val="24"/>
          <w:szCs w:val="24"/>
        </w:rPr>
        <w:t xml:space="preserve">que </w:t>
      </w:r>
      <w:r w:rsidR="007D49A5">
        <w:rPr>
          <w:rFonts w:ascii="Times New Roman" w:hAnsi="Times New Roman"/>
          <w:bCs/>
          <w:sz w:val="24"/>
          <w:szCs w:val="24"/>
        </w:rPr>
        <w:t>a AGIR</w:t>
      </w:r>
      <w:r w:rsidR="0067739D">
        <w:rPr>
          <w:rFonts w:ascii="Times New Roman" w:hAnsi="Times New Roman"/>
          <w:bCs/>
          <w:sz w:val="24"/>
          <w:szCs w:val="24"/>
        </w:rPr>
        <w:t xml:space="preserve"> </w:t>
      </w:r>
      <w:r w:rsidR="007D49A5">
        <w:rPr>
          <w:rFonts w:ascii="Times New Roman" w:hAnsi="Times New Roman"/>
          <w:bCs/>
          <w:sz w:val="24"/>
          <w:szCs w:val="24"/>
        </w:rPr>
        <w:t xml:space="preserve">tem como objeto </w:t>
      </w:r>
      <w:r w:rsidR="0067739D">
        <w:rPr>
          <w:rFonts w:ascii="Times New Roman" w:hAnsi="Times New Roman"/>
          <w:bCs/>
          <w:sz w:val="24"/>
          <w:szCs w:val="24"/>
        </w:rPr>
        <w:t xml:space="preserve">o controle, a regulação e a fiscalização dos serviços públicos de transporte coletivo, e por objetivo definir tarifas, preços públicos ou taxas aplicadas pelos entes consorciados, que assegurem além do equilíbrio econômico-financeiro a modicidade tarifária nos termos das Cláusula 6ª e 7ª do Novo Protocolo de Intenções: </w:t>
      </w:r>
    </w:p>
    <w:p w:rsidR="00674170" w:rsidRPr="00BF20B2" w:rsidRDefault="00674170" w:rsidP="00674170">
      <w:pPr>
        <w:autoSpaceDE w:val="0"/>
        <w:autoSpaceDN w:val="0"/>
        <w:adjustRightInd w:val="0"/>
        <w:spacing w:after="0" w:line="240" w:lineRule="auto"/>
        <w:ind w:left="2268"/>
        <w:jc w:val="both"/>
        <w:rPr>
          <w:rFonts w:ascii="Times New Roman" w:hAnsi="Times New Roman"/>
          <w:color w:val="000000"/>
          <w:sz w:val="20"/>
          <w:szCs w:val="20"/>
        </w:rPr>
      </w:pPr>
      <w:r w:rsidRPr="00BF20B2">
        <w:rPr>
          <w:rFonts w:ascii="Times New Roman" w:hAnsi="Times New Roman"/>
          <w:color w:val="000000"/>
          <w:sz w:val="20"/>
          <w:szCs w:val="20"/>
        </w:rPr>
        <w:lastRenderedPageBreak/>
        <w:t xml:space="preserve">CLÁUSULA 6ª. Constitui-se objeto da </w:t>
      </w:r>
      <w:r w:rsidRPr="00BF20B2">
        <w:rPr>
          <w:rFonts w:ascii="Times New Roman" w:hAnsi="Times New Roman"/>
          <w:bCs/>
          <w:color w:val="000000"/>
          <w:sz w:val="20"/>
          <w:szCs w:val="20"/>
        </w:rPr>
        <w:t>AGIR</w:t>
      </w:r>
      <w:r w:rsidRPr="00BF20B2">
        <w:rPr>
          <w:rFonts w:ascii="Times New Roman" w:hAnsi="Times New Roman"/>
          <w:color w:val="000000"/>
          <w:sz w:val="20"/>
          <w:szCs w:val="20"/>
        </w:rPr>
        <w:t xml:space="preserve"> o controle, a regulação e a fiscalização dos serviços públicos municipais, incluindo o transporte público coletivo e o saneamento básico, bem como outros a serem inclusos, nas formas e condições estabelecidas neste Novo Protocolo de Intenções.</w:t>
      </w:r>
    </w:p>
    <w:p w:rsidR="00674170" w:rsidRPr="00BF20B2" w:rsidRDefault="00674170" w:rsidP="00674170">
      <w:pPr>
        <w:pStyle w:val="Recuodecorpodetexto"/>
        <w:spacing w:after="0"/>
        <w:ind w:left="2268"/>
        <w:jc w:val="both"/>
      </w:pPr>
      <w:r>
        <w:t>[...]</w:t>
      </w:r>
    </w:p>
    <w:p w:rsidR="00674170" w:rsidRPr="00BF20B2" w:rsidRDefault="00674170" w:rsidP="00674170">
      <w:pPr>
        <w:autoSpaceDE w:val="0"/>
        <w:autoSpaceDN w:val="0"/>
        <w:adjustRightInd w:val="0"/>
        <w:spacing w:after="0" w:line="240" w:lineRule="auto"/>
        <w:ind w:left="2268"/>
        <w:jc w:val="both"/>
        <w:rPr>
          <w:rFonts w:ascii="Times New Roman" w:hAnsi="Times New Roman"/>
          <w:color w:val="000000"/>
          <w:sz w:val="20"/>
          <w:szCs w:val="20"/>
        </w:rPr>
      </w:pPr>
      <w:r w:rsidRPr="00BF20B2">
        <w:rPr>
          <w:rFonts w:ascii="Times New Roman" w:hAnsi="Times New Roman"/>
          <w:color w:val="000000"/>
          <w:sz w:val="20"/>
          <w:szCs w:val="20"/>
        </w:rPr>
        <w:t xml:space="preserve">§ 4º. Inclui-se na </w:t>
      </w:r>
      <w:r w:rsidRPr="00397428">
        <w:rPr>
          <w:rFonts w:ascii="Times New Roman" w:hAnsi="Times New Roman"/>
          <w:b/>
          <w:bCs/>
          <w:color w:val="000000"/>
          <w:sz w:val="20"/>
          <w:szCs w:val="20"/>
        </w:rPr>
        <w:t>competência da AGIR o controle, a regulação e a fiscalização do serviço de transporte individual remunerado de passageiros, nos termos e limites da legislação de cada ente consorciado</w:t>
      </w:r>
      <w:r w:rsidRPr="00BF20B2">
        <w:rPr>
          <w:rFonts w:ascii="Times New Roman" w:hAnsi="Times New Roman"/>
          <w:color w:val="000000"/>
          <w:sz w:val="20"/>
          <w:szCs w:val="20"/>
        </w:rPr>
        <w:t>.</w:t>
      </w:r>
      <w:r>
        <w:rPr>
          <w:rFonts w:ascii="Times New Roman" w:hAnsi="Times New Roman"/>
          <w:color w:val="000000"/>
          <w:sz w:val="20"/>
          <w:szCs w:val="20"/>
        </w:rPr>
        <w:t xml:space="preserve"> (grifo nosso)</w:t>
      </w:r>
    </w:p>
    <w:p w:rsidR="00674170" w:rsidRPr="00BF20B2" w:rsidRDefault="00674170" w:rsidP="00674170">
      <w:pPr>
        <w:pStyle w:val="Recuodecorpodetexto"/>
        <w:spacing w:after="0"/>
        <w:ind w:left="2268" w:firstLine="1701"/>
        <w:jc w:val="both"/>
      </w:pPr>
    </w:p>
    <w:p w:rsidR="00674170" w:rsidRPr="00BF20B2" w:rsidRDefault="00674170" w:rsidP="00674170">
      <w:pPr>
        <w:autoSpaceDE w:val="0"/>
        <w:autoSpaceDN w:val="0"/>
        <w:adjustRightInd w:val="0"/>
        <w:spacing w:after="0" w:line="240" w:lineRule="auto"/>
        <w:ind w:left="2268"/>
        <w:jc w:val="both"/>
        <w:outlineLvl w:val="0"/>
        <w:rPr>
          <w:rFonts w:ascii="Times New Roman" w:hAnsi="Times New Roman"/>
          <w:color w:val="000000"/>
          <w:sz w:val="20"/>
          <w:szCs w:val="20"/>
        </w:rPr>
      </w:pPr>
      <w:r w:rsidRPr="00BF20B2">
        <w:rPr>
          <w:rFonts w:ascii="Times New Roman" w:hAnsi="Times New Roman"/>
          <w:color w:val="000000"/>
          <w:sz w:val="20"/>
          <w:szCs w:val="20"/>
        </w:rPr>
        <w:t xml:space="preserve">CLÁUSULA 7ª. São objetivos da </w:t>
      </w:r>
      <w:r w:rsidRPr="00BF20B2">
        <w:rPr>
          <w:rFonts w:ascii="Times New Roman" w:hAnsi="Times New Roman"/>
          <w:bCs/>
          <w:color w:val="000000"/>
          <w:sz w:val="20"/>
          <w:szCs w:val="20"/>
        </w:rPr>
        <w:t>AGIR</w:t>
      </w:r>
      <w:r w:rsidRPr="00BF20B2">
        <w:rPr>
          <w:rFonts w:ascii="Times New Roman" w:hAnsi="Times New Roman"/>
          <w:color w:val="000000"/>
          <w:sz w:val="20"/>
          <w:szCs w:val="20"/>
        </w:rPr>
        <w:t>:</w:t>
      </w:r>
    </w:p>
    <w:p w:rsidR="00674170" w:rsidRPr="00BF20B2" w:rsidRDefault="00674170" w:rsidP="00674170">
      <w:pPr>
        <w:autoSpaceDE w:val="0"/>
        <w:autoSpaceDN w:val="0"/>
        <w:adjustRightInd w:val="0"/>
        <w:spacing w:after="0" w:line="240" w:lineRule="auto"/>
        <w:ind w:left="2268"/>
        <w:jc w:val="both"/>
        <w:outlineLvl w:val="0"/>
        <w:rPr>
          <w:rFonts w:ascii="Times New Roman" w:hAnsi="Times New Roman"/>
          <w:color w:val="000000"/>
          <w:sz w:val="20"/>
          <w:szCs w:val="20"/>
        </w:rPr>
      </w:pPr>
    </w:p>
    <w:p w:rsidR="00674170" w:rsidRPr="00BF20B2" w:rsidRDefault="00674170" w:rsidP="00674170">
      <w:pPr>
        <w:autoSpaceDE w:val="0"/>
        <w:autoSpaceDN w:val="0"/>
        <w:adjustRightInd w:val="0"/>
        <w:spacing w:after="0" w:line="240" w:lineRule="auto"/>
        <w:ind w:left="2268"/>
        <w:jc w:val="both"/>
        <w:rPr>
          <w:rFonts w:ascii="Times New Roman" w:hAnsi="Times New Roman"/>
          <w:color w:val="000000"/>
          <w:sz w:val="20"/>
          <w:szCs w:val="20"/>
        </w:rPr>
      </w:pPr>
      <w:r w:rsidRPr="00BF20B2">
        <w:rPr>
          <w:rFonts w:ascii="Times New Roman" w:hAnsi="Times New Roman"/>
          <w:color w:val="000000"/>
          <w:sz w:val="20"/>
          <w:szCs w:val="20"/>
        </w:rPr>
        <w:t xml:space="preserve">IV - </w:t>
      </w:r>
      <w:proofErr w:type="gramStart"/>
      <w:r w:rsidRPr="00397428">
        <w:rPr>
          <w:rFonts w:ascii="Times New Roman" w:hAnsi="Times New Roman"/>
          <w:b/>
          <w:bCs/>
          <w:color w:val="000000"/>
          <w:sz w:val="20"/>
          <w:szCs w:val="20"/>
        </w:rPr>
        <w:t>definir</w:t>
      </w:r>
      <w:proofErr w:type="gramEnd"/>
      <w:r w:rsidRPr="00397428">
        <w:rPr>
          <w:rFonts w:ascii="Times New Roman" w:hAnsi="Times New Roman"/>
          <w:b/>
          <w:bCs/>
          <w:color w:val="000000"/>
          <w:sz w:val="20"/>
          <w:szCs w:val="20"/>
        </w:rPr>
        <w:t xml:space="preserve"> tarifas e preços públicos e, fiscalizar taxas, que assegurem tanto o equilíbrio econômico-financeiro dos contratos como a modicidade tarifária</w:t>
      </w:r>
      <w:r w:rsidRPr="00BF20B2">
        <w:rPr>
          <w:rFonts w:ascii="Times New Roman" w:hAnsi="Times New Roman"/>
          <w:color w:val="000000"/>
          <w:sz w:val="20"/>
          <w:szCs w:val="20"/>
        </w:rPr>
        <w:t>, mediante mecanismos que induzam a eficiência e eficácia dos serviços e que permitam a apropriação social dos ganhos de produtividade.</w:t>
      </w:r>
      <w:r>
        <w:rPr>
          <w:rFonts w:ascii="Times New Roman" w:hAnsi="Times New Roman"/>
          <w:color w:val="000000"/>
          <w:sz w:val="20"/>
          <w:szCs w:val="20"/>
        </w:rPr>
        <w:t xml:space="preserve"> (grifo nosso)</w:t>
      </w:r>
    </w:p>
    <w:p w:rsidR="00674170" w:rsidRPr="009C520F" w:rsidRDefault="00674170" w:rsidP="009C520F">
      <w:pPr>
        <w:spacing w:after="0" w:line="360" w:lineRule="auto"/>
        <w:ind w:firstLine="1701"/>
        <w:jc w:val="both"/>
        <w:rPr>
          <w:rFonts w:ascii="Times New Roman" w:hAnsi="Times New Roman"/>
          <w:bCs/>
          <w:sz w:val="24"/>
          <w:szCs w:val="24"/>
        </w:rPr>
      </w:pPr>
    </w:p>
    <w:p w:rsidR="00025CA6" w:rsidRDefault="007D49A5">
      <w:pPr>
        <w:pStyle w:val="NormalWeb"/>
        <w:shd w:val="clear" w:color="auto" w:fill="FFFFFF"/>
        <w:spacing w:before="0" w:beforeAutospacing="0" w:after="0" w:afterAutospacing="0" w:line="360" w:lineRule="auto"/>
        <w:ind w:firstLine="1701"/>
        <w:jc w:val="both"/>
      </w:pPr>
      <w:r>
        <w:t>Desta forma, a atuação da AGIR, na busca da modicidade tarifária e na atuação do controle e fiscalização do Contrato em comento, é medida que se faz necessária e reconhecida pelo Tribunal de Contas da União – TCU, como se extrai do Ac</w:t>
      </w:r>
      <w:r w:rsidR="00025CA6">
        <w:t>ó</w:t>
      </w:r>
      <w:r>
        <w:t xml:space="preserve">rdão </w:t>
      </w:r>
      <w:r w:rsidR="00025CA6">
        <w:t>1756/2004 – Relator: Walter Alencar Rodrigues:</w:t>
      </w:r>
    </w:p>
    <w:p w:rsidR="00025CA6" w:rsidRDefault="00025CA6" w:rsidP="00025CA6">
      <w:pPr>
        <w:pStyle w:val="NormalWeb"/>
        <w:shd w:val="clear" w:color="auto" w:fill="FFFFFF"/>
        <w:spacing w:before="0" w:beforeAutospacing="0" w:after="0" w:afterAutospacing="0"/>
        <w:ind w:left="2268"/>
        <w:jc w:val="both"/>
        <w:rPr>
          <w:rFonts w:ascii="Segoe UI" w:hAnsi="Segoe UI" w:cs="Segoe UI"/>
          <w:color w:val="4D4C4C"/>
          <w:sz w:val="27"/>
          <w:szCs w:val="27"/>
          <w:shd w:val="clear" w:color="auto" w:fill="FFFFFF"/>
        </w:rPr>
      </w:pPr>
      <w:r w:rsidRPr="00025CA6">
        <w:rPr>
          <w:sz w:val="20"/>
          <w:szCs w:val="20"/>
          <w:shd w:val="clear" w:color="auto" w:fill="FFFFFF"/>
        </w:rPr>
        <w:t>O TCU deve atuar de forma complementar à ação das entidades reguladoras no que concerne ao acompanhamento da outorga e da execução contratual dos serviços concedidos</w:t>
      </w:r>
      <w:r>
        <w:rPr>
          <w:rFonts w:ascii="Segoe UI" w:hAnsi="Segoe UI" w:cs="Segoe UI"/>
          <w:color w:val="4D4C4C"/>
          <w:sz w:val="27"/>
          <w:szCs w:val="27"/>
          <w:shd w:val="clear" w:color="auto" w:fill="FFFFFF"/>
        </w:rPr>
        <w:t>.</w:t>
      </w:r>
    </w:p>
    <w:p w:rsidR="00025CA6" w:rsidRDefault="00025CA6" w:rsidP="00025CA6">
      <w:pPr>
        <w:pStyle w:val="NormalWeb"/>
        <w:shd w:val="clear" w:color="auto" w:fill="FFFFFF"/>
        <w:spacing w:before="0" w:beforeAutospacing="0" w:after="0" w:afterAutospacing="0"/>
        <w:jc w:val="both"/>
      </w:pPr>
    </w:p>
    <w:p w:rsidR="007D49A5" w:rsidRDefault="00025CA6" w:rsidP="00025CA6">
      <w:pPr>
        <w:pStyle w:val="NormalWeb"/>
        <w:shd w:val="clear" w:color="auto" w:fill="FFFFFF"/>
        <w:spacing w:before="0" w:beforeAutospacing="0" w:after="0" w:afterAutospacing="0"/>
        <w:jc w:val="both"/>
      </w:pPr>
      <w:r>
        <w:t>Enunciados relacionados</w:t>
      </w:r>
      <w:r>
        <w:rPr>
          <w:rStyle w:val="Refdenotaderodap"/>
        </w:rPr>
        <w:footnoteReference w:id="1"/>
      </w:r>
      <w:r>
        <w:t xml:space="preserve"> que parcialmente transcrevemos: </w:t>
      </w:r>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8" w:anchor="/documento/jurisprudencia-selecionada/*/KEY%3AJURISPRUDENCIA-SELECIONADA-47057/score%20desc%2C%20COLEGIADO%20asc%2C%20ANOACORDAO%20desc%2C%20NUMACORDAO%20desc/0/sinonimos%3Dtrue" w:tgtFrame="_blank" w:history="1">
        <w:r w:rsidR="007D49A5" w:rsidRPr="007D49A5">
          <w:rPr>
            <w:rStyle w:val="Hyperlink"/>
            <w:rFonts w:ascii="Times New Roman" w:hAnsi="Times New Roman"/>
            <w:color w:val="auto"/>
            <w:sz w:val="20"/>
            <w:szCs w:val="20"/>
            <w:u w:val="none"/>
          </w:rPr>
          <w:t>Não é da competência do TCU, em tese ou no caso concreto, aprovar ou reprovar TAC celebrado por agência reguladora, tampouco decidir sobre a opção regulatória adotada, sem prejuízo da sua prerrogativa de se posicionar quanto à legalidade e à legitimidade de cláusulas inseridas no acordo.</w:t>
        </w:r>
      </w:hyperlink>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9" w:anchor="/documento/jurisprudencia-selecionada/*/KEY%3AJURISPRUDENCIA-SELECIONADA-6544/score%20desc%2C%20COLEGIADO%20asc%2C%20ANOACORDAO%20desc%2C%20NUMACORDAO%20desc/0/sinonimos%3Dtrue" w:tgtFrame="_blank" w:history="1">
        <w:r w:rsidR="007D49A5" w:rsidRPr="007D49A5">
          <w:rPr>
            <w:rStyle w:val="Hyperlink"/>
            <w:rFonts w:ascii="Times New Roman" w:hAnsi="Times New Roman"/>
            <w:color w:val="auto"/>
            <w:sz w:val="20"/>
            <w:szCs w:val="20"/>
            <w:u w:val="none"/>
          </w:rPr>
          <w:t>Não compete ao TCU fiscalizar diretamente as empresas delegatárias de serviço público, mas sim examinar se o poder concedente está fiscalizando de forma adequada a execução dos contratos com elas celebrados.</w:t>
        </w:r>
      </w:hyperlink>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10" w:anchor="/documento/jurisprudencia-selecionada/*/KEY%3AJURISPRUDENCIA-SELECIONADA-3882/score%20desc%2C%20COLEGIADO%20asc%2C%20ANOACORDAO%20desc%2C%20NUMACORDAO%20desc/0/sinonimos%3Dtrue" w:tgtFrame="_blank" w:history="1">
        <w:r w:rsidR="007D49A5" w:rsidRPr="007D49A5">
          <w:rPr>
            <w:rStyle w:val="Hyperlink"/>
            <w:rFonts w:ascii="Times New Roman" w:hAnsi="Times New Roman"/>
            <w:color w:val="auto"/>
            <w:sz w:val="20"/>
            <w:szCs w:val="20"/>
            <w:u w:val="none"/>
          </w:rPr>
          <w:t>O TCU pode determinar medidas corretivas a ato praticado na esfera de discricionariedade das agências reguladoras, desde que esse ato viole o ordenamento jurídico, do qual fazem parte os princípios da economicidade da Administração Pública e da modicidade tarifária na prestação de serviços públicos.</w:t>
        </w:r>
      </w:hyperlink>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11" w:anchor="/documento/jurisprudencia-selecionada/*/KEY%3AJURISPRUDENCIA-SELECIONADA-14928/score%20desc%2C%20COLEGIADO%20asc%2C%20ANOACORDAO%20desc%2C%20NUMACORDAO%20desc/0/sinonimos%3Dtrue" w:tgtFrame="_blank" w:history="1">
        <w:r w:rsidR="007D49A5" w:rsidRPr="00025CA6">
          <w:rPr>
            <w:rStyle w:val="Hyperlink"/>
            <w:rFonts w:ascii="Times New Roman" w:hAnsi="Times New Roman"/>
            <w:b/>
            <w:bCs/>
            <w:color w:val="auto"/>
            <w:sz w:val="20"/>
            <w:szCs w:val="20"/>
            <w:u w:val="none"/>
          </w:rPr>
          <w:t>Compete às agências reguladoras estaduais ou municipais a regulação econômica dos contratos de concessão de serviços públicos de saneamento, bem como a apuração dos seus equilíbrios econômico-financeiros</w:t>
        </w:r>
        <w:r w:rsidR="007D49A5" w:rsidRPr="007D49A5">
          <w:rPr>
            <w:rStyle w:val="Hyperlink"/>
            <w:rFonts w:ascii="Times New Roman" w:hAnsi="Times New Roman"/>
            <w:color w:val="auto"/>
            <w:sz w:val="20"/>
            <w:szCs w:val="20"/>
            <w:u w:val="none"/>
          </w:rPr>
          <w:t>. Cabe aos tribunais de contas estaduais ou municipais o controle externo sobre esses contratos.</w:t>
        </w:r>
      </w:hyperlink>
      <w:r w:rsidR="00025CA6">
        <w:rPr>
          <w:rFonts w:ascii="Times New Roman" w:hAnsi="Times New Roman"/>
          <w:sz w:val="20"/>
          <w:szCs w:val="20"/>
        </w:rPr>
        <w:t xml:space="preserve"> (grifo nosso)</w:t>
      </w:r>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12" w:anchor="/documento/jurisprudencia-selecionada/*/KEY%3AJURISPRUDENCIA-SELECIONADA-26041/score%20desc%2C%20COLEGIADO%20asc%2C%20ANOACORDAO%20desc%2C%20NUMACORDAO%20desc/0/sinonimos%3Dtrue" w:tgtFrame="_blank" w:history="1">
        <w:r w:rsidR="007D49A5" w:rsidRPr="007D49A5">
          <w:rPr>
            <w:rStyle w:val="Hyperlink"/>
            <w:rFonts w:ascii="Times New Roman" w:hAnsi="Times New Roman"/>
            <w:color w:val="auto"/>
            <w:sz w:val="20"/>
            <w:szCs w:val="20"/>
            <w:u w:val="none"/>
          </w:rPr>
          <w:t>A atuação do controle externo nas atividades finalísticas das agências reguladoras limita-se a fiscalização de segunda ordem, respeitando os limites de atuação e a autonomia funcional daquelas entidades, não cabendo ao TCU avaliar, em casos concretos específicos, a correção das normas editadas por entidades regulatórias.</w:t>
        </w:r>
      </w:hyperlink>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13" w:anchor="/documento/jurisprudencia-selecionada/*/KEY%3AJURISPRUDENCIA-SELECIONADA-16933/score%20desc%2C%20COLEGIADO%20asc%2C%20ANOACORDAO%20desc%2C%20NUMACORDAO%20desc/0/sinonimos%3Dtrue" w:tgtFrame="_blank" w:history="1">
        <w:r w:rsidR="007D49A5" w:rsidRPr="00025CA6">
          <w:rPr>
            <w:rStyle w:val="Hyperlink"/>
            <w:rFonts w:ascii="Times New Roman" w:hAnsi="Times New Roman"/>
            <w:b/>
            <w:bCs/>
            <w:color w:val="auto"/>
            <w:sz w:val="20"/>
            <w:szCs w:val="20"/>
            <w:u w:val="none"/>
          </w:rPr>
          <w:t>A fiscalização do cumprimento de metas de qualidade previstas nos contratos de concessão de serviços públicos não está abrangida na competência imediata do TCU. No exercício do controle externo da Administração Pública Federal, não compete ao Tribunal fiscalizar diretamente as empresas delegatárias de serviço público, mas sim examinar se o poder concedente está fiscalizando, de forma adequada, a execução dos contratos celebrados. O controle exercido pelo TCU incide diretamente sobre a agência reguladora e mediatamente sobre as delegatárias</w:t>
        </w:r>
        <w:r w:rsidR="007D49A5" w:rsidRPr="007D49A5">
          <w:rPr>
            <w:rStyle w:val="Hyperlink"/>
            <w:rFonts w:ascii="Times New Roman" w:hAnsi="Times New Roman"/>
            <w:color w:val="auto"/>
            <w:sz w:val="20"/>
            <w:szCs w:val="20"/>
            <w:u w:val="none"/>
          </w:rPr>
          <w:t>.</w:t>
        </w:r>
      </w:hyperlink>
      <w:r w:rsidR="00025CA6">
        <w:rPr>
          <w:rFonts w:ascii="Times New Roman" w:hAnsi="Times New Roman"/>
          <w:sz w:val="20"/>
          <w:szCs w:val="20"/>
        </w:rPr>
        <w:t xml:space="preserve"> (grifo nosso)</w:t>
      </w:r>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14" w:anchor="/documento/jurisprudencia-selecionada/*/KEY%3AJURISPRUDENCIA-SELECIONADA-15186/score%20desc%2C%20COLEGIADO%20asc%2C%20ANOACORDAO%20desc%2C%20NUMACORDAO%20desc/0/sinonimos%3Dtrue" w:tgtFrame="_blank" w:history="1">
        <w:r w:rsidR="007D49A5" w:rsidRPr="007D49A5">
          <w:rPr>
            <w:rStyle w:val="Hyperlink"/>
            <w:rFonts w:ascii="Times New Roman" w:hAnsi="Times New Roman"/>
            <w:color w:val="auto"/>
            <w:sz w:val="20"/>
            <w:szCs w:val="20"/>
            <w:u w:val="none"/>
          </w:rPr>
          <w:t>Ao exercer o controle externo das atividades finalísticas das agências reguladoras, o TCU deve atuar de forma complementar, exercendo uma fiscalização de segunda ordem, preservando ao máximo o âmbito de competência dessas entidades públicas.</w:t>
        </w:r>
      </w:hyperlink>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15" w:anchor="/documento/jurisprudencia-selecionada/*/KEY%3AJURISPRUDENCIA-SELECIONADA-11623/score%20desc%2C%20COLEGIADO%20asc%2C%20ANOACORDAO%20desc%2C%20NUMACORDAO%20desc/0/sinonimos%3Dtrue" w:tgtFrame="_blank" w:history="1">
        <w:r w:rsidR="007D49A5" w:rsidRPr="007D49A5">
          <w:rPr>
            <w:rStyle w:val="Hyperlink"/>
            <w:rFonts w:ascii="Times New Roman" w:hAnsi="Times New Roman"/>
            <w:color w:val="auto"/>
            <w:sz w:val="20"/>
            <w:szCs w:val="20"/>
            <w:u w:val="none"/>
          </w:rPr>
          <w:t>A competência do TCU incide estritamente sobre a legalidade dos atos das agências reguladoras, excluindo-se a possibilidade de formulação de determinações sobre matéria técnica de competência delas.</w:t>
        </w:r>
      </w:hyperlink>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16" w:anchor="/documento/jurisprudencia-selecionada/*/KEY%3AJURISPRUDENCIA-SELECIONADA-14932/score%20desc%2C%20COLEGIADO%20asc%2C%20ANOACORDAO%20desc%2C%20NUMACORDAO%20desc/0/sinonimos%3Dtrue" w:tgtFrame="_blank" w:history="1">
        <w:r w:rsidR="007D49A5" w:rsidRPr="007D49A5">
          <w:rPr>
            <w:rStyle w:val="Hyperlink"/>
            <w:rFonts w:ascii="Times New Roman" w:hAnsi="Times New Roman"/>
            <w:color w:val="auto"/>
            <w:sz w:val="20"/>
            <w:szCs w:val="20"/>
            <w:u w:val="none"/>
          </w:rPr>
          <w:t xml:space="preserve">Não compete ao TCU fiscalizar diretamente as empresas delegatárias de serviço público, mas sim examinar se o poder concedente fiscaliza de forma adequada a execução dos contratos celebrados, </w:t>
        </w:r>
        <w:r w:rsidR="007D49A5" w:rsidRPr="00F61CDA">
          <w:rPr>
            <w:rStyle w:val="Hyperlink"/>
            <w:rFonts w:ascii="Times New Roman" w:hAnsi="Times New Roman"/>
            <w:b/>
            <w:bCs/>
            <w:color w:val="auto"/>
            <w:sz w:val="20"/>
            <w:szCs w:val="20"/>
            <w:u w:val="none"/>
          </w:rPr>
          <w:t>visto que entendimento contrário implicaria invasão do TCU na seara de atuação das agências reguladoras, esvaziando a competência dessas entidades</w:t>
        </w:r>
        <w:r w:rsidR="007D49A5" w:rsidRPr="007D49A5">
          <w:rPr>
            <w:rStyle w:val="Hyperlink"/>
            <w:rFonts w:ascii="Times New Roman" w:hAnsi="Times New Roman"/>
            <w:color w:val="auto"/>
            <w:sz w:val="20"/>
            <w:szCs w:val="20"/>
            <w:u w:val="none"/>
          </w:rPr>
          <w:t>. Tratando-se da atividade-fim das referidas autarquias especiais, não deve o TCU se substituir à entidade controlada, tampouco estabelecer o conteúdo do ato de competência da agência, determinando-lhe a adoção de medidas, salvo quando for constatada ilegalidade ou omissão no cumprimento de normas jurídicas pertinentes.</w:t>
        </w:r>
      </w:hyperlink>
      <w:r w:rsidR="00F61CDA">
        <w:rPr>
          <w:rFonts w:ascii="Times New Roman" w:hAnsi="Times New Roman"/>
          <w:sz w:val="20"/>
          <w:szCs w:val="20"/>
        </w:rPr>
        <w:t xml:space="preserve"> (grifo nosso)</w:t>
      </w:r>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17" w:anchor="/documento/jurisprudencia-selecionada/*/KEY%3AJURISPRUDENCIA-SELECIONADA-14934/score%20desc%2C%20COLEGIADO%20asc%2C%20ANOACORDAO%20desc%2C%20NUMACORDAO%20desc/0/sinonimos%3Dtrue" w:tgtFrame="_blank" w:history="1">
        <w:r w:rsidR="007D49A5" w:rsidRPr="007D49A5">
          <w:rPr>
            <w:rStyle w:val="Hyperlink"/>
            <w:rFonts w:ascii="Times New Roman" w:hAnsi="Times New Roman"/>
            <w:color w:val="auto"/>
            <w:sz w:val="20"/>
            <w:szCs w:val="20"/>
            <w:u w:val="none"/>
          </w:rPr>
          <w:t>A fiscalização do TCU sobre as agências reguladoras é de segunda ordem, cabendo a estas a fiscalização de primeira ordem, bem como as escolhas regulatórias, e ao TCU verificar se não houve ilegalidade ou irregularidade na atuação dessas autarquias especiais.</w:t>
        </w:r>
      </w:hyperlink>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18" w:anchor="/documento/jurisprudencia-selecionada/*/KEY%3AJURISPRUDENCIA-SELECIONADA-30993/score%20desc%2C%20COLEGIADO%20asc%2C%20ANOACORDAO%20desc%2C%20NUMACORDAO%20desc/0/sinonimos%3Dtrue" w:tgtFrame="_blank" w:history="1">
        <w:r w:rsidR="007D49A5" w:rsidRPr="007D49A5">
          <w:rPr>
            <w:rStyle w:val="Hyperlink"/>
            <w:rFonts w:ascii="Times New Roman" w:hAnsi="Times New Roman"/>
            <w:color w:val="auto"/>
            <w:sz w:val="20"/>
            <w:szCs w:val="20"/>
            <w:u w:val="none"/>
          </w:rPr>
          <w:t>Na fiscalização das atividades-fim das agências reguladoras, o TCU não deve substituir-se aos órgãos que controla, nem estabelecer o conteúdo do ato de competência do órgão regulador, determinando-lhe a adoção de medidas, salvo quando verificar a ocorrência de ilegalidade ou de omissão da autarquia no cumprimento das normas jurídicas pertinentes.</w:t>
        </w:r>
      </w:hyperlink>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19" w:anchor="/documento/jurisprudencia-selecionada/*/KEY%3AJURISPRUDENCIA-SELECIONADA-30994/score%20desc%2C%20COLEGIADO%20asc%2C%20ANOACORDAO%20desc%2C%20NUMACORDAO%20desc/0/sinonimos%3Dtrue" w:tgtFrame="_blank" w:history="1">
        <w:r w:rsidR="007D49A5" w:rsidRPr="007D49A5">
          <w:rPr>
            <w:rStyle w:val="Hyperlink"/>
            <w:rFonts w:ascii="Times New Roman" w:hAnsi="Times New Roman"/>
            <w:color w:val="auto"/>
            <w:sz w:val="20"/>
            <w:szCs w:val="20"/>
            <w:u w:val="none"/>
          </w:rPr>
          <w:t>O controle do TCU sobre os atos de regulação é de segunda ordem, na medida que o limite a ele imposto esbarra na esfera de discricionariedade conferida ao ente regulador. No caso de ato discricionário praticado de forma motivada e em prol do interesse público, cabe ao TCU, tão-somente, recomendar a adoção das providências que reputar adequadas. Não é suprimida a competência do Tribunal para determinar medidas corretivas a ato praticado na esfera de discricionariedade das agências reguladoras, desde que viciado em seus atributos, a exemplo da competência, da forma, da finalidade ou, ainda, inexistente o motivo determinante e declarado. Em tais hipóteses e se a irregularidade for grave, pode até mesmo determinar a anulação do ato.</w:t>
        </w:r>
      </w:hyperlink>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20" w:anchor="/documento/jurisprudencia-selecionada/*/KEY%3AJURISPRUDENCIA-SELECIONADA-32557/score%20desc%2C%20COLEGIADO%20asc%2C%20ANOACORDAO%20desc%2C%20NUMACORDAO%20desc/0/sinonimos%3Dtrue" w:tgtFrame="_blank" w:history="1">
        <w:r w:rsidR="007D49A5" w:rsidRPr="00F61CDA">
          <w:rPr>
            <w:rStyle w:val="Hyperlink"/>
            <w:rFonts w:ascii="Times New Roman" w:hAnsi="Times New Roman"/>
            <w:b/>
            <w:bCs/>
            <w:color w:val="auto"/>
            <w:sz w:val="20"/>
            <w:szCs w:val="20"/>
            <w:u w:val="none"/>
          </w:rPr>
          <w:t xml:space="preserve">No que tange ao acompanhamento de outorgas ou execução contratual de serviços públicos concedidos, a fiscalização exercida pelo TCU, nas atividades regulatórias, possui caráter de </w:t>
        </w:r>
        <w:proofErr w:type="spellStart"/>
        <w:r w:rsidR="007D49A5" w:rsidRPr="00F61CDA">
          <w:rPr>
            <w:rStyle w:val="Hyperlink"/>
            <w:rFonts w:ascii="Times New Roman" w:hAnsi="Times New Roman"/>
            <w:b/>
            <w:bCs/>
            <w:color w:val="auto"/>
            <w:sz w:val="20"/>
            <w:szCs w:val="20"/>
            <w:u w:val="none"/>
          </w:rPr>
          <w:t>ancilaridade</w:t>
        </w:r>
        <w:proofErr w:type="spellEnd"/>
        <w:r w:rsidR="007D49A5" w:rsidRPr="00F61CDA">
          <w:rPr>
            <w:rStyle w:val="Hyperlink"/>
            <w:rFonts w:ascii="Times New Roman" w:hAnsi="Times New Roman"/>
            <w:b/>
            <w:bCs/>
            <w:color w:val="auto"/>
            <w:sz w:val="20"/>
            <w:szCs w:val="20"/>
            <w:u w:val="none"/>
          </w:rPr>
          <w:t xml:space="preserve"> ao Poder Concedente. Trata-se de um controle de segunda ordem, cujos limites se estabelecem na esfera de discricionariedade conferida ao agente regulador</w:t>
        </w:r>
        <w:r w:rsidR="007D49A5" w:rsidRPr="007D49A5">
          <w:rPr>
            <w:rStyle w:val="Hyperlink"/>
            <w:rFonts w:ascii="Times New Roman" w:hAnsi="Times New Roman"/>
            <w:color w:val="auto"/>
            <w:sz w:val="20"/>
            <w:szCs w:val="20"/>
            <w:u w:val="none"/>
          </w:rPr>
          <w:t>.</w:t>
        </w:r>
      </w:hyperlink>
      <w:r w:rsidR="00F61CDA">
        <w:rPr>
          <w:rFonts w:ascii="Times New Roman" w:hAnsi="Times New Roman"/>
          <w:sz w:val="20"/>
          <w:szCs w:val="20"/>
        </w:rPr>
        <w:t xml:space="preserve"> (grifo nosso)</w:t>
      </w:r>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21" w:anchor="/documento/jurisprudencia-selecionada/*/KEY%3AJURISPRUDENCIA-SELECIONADA-32581/score%20desc%2C%20COLEGIADO%20asc%2C%20ANOACORDAO%20desc%2C%20NUMACORDAO%20desc/0/sinonimos%3Dtrue" w:tgtFrame="_blank" w:history="1">
        <w:r w:rsidR="007D49A5" w:rsidRPr="00F61CDA">
          <w:rPr>
            <w:rStyle w:val="Hyperlink"/>
            <w:rFonts w:ascii="Times New Roman" w:hAnsi="Times New Roman"/>
            <w:b/>
            <w:bCs/>
            <w:color w:val="auto"/>
            <w:sz w:val="20"/>
            <w:szCs w:val="20"/>
            <w:u w:val="none"/>
          </w:rPr>
          <w:t>Compete às agências criadas para o acompanhamento das atividades sujeitas a regulação pública resolverem autonomamente os problemas detectados em suas respectivas áreas de atuação.</w:t>
        </w:r>
        <w:r w:rsidR="007D49A5" w:rsidRPr="007D49A5">
          <w:rPr>
            <w:rStyle w:val="Hyperlink"/>
            <w:rFonts w:ascii="Times New Roman" w:hAnsi="Times New Roman"/>
            <w:color w:val="auto"/>
            <w:sz w:val="20"/>
            <w:szCs w:val="20"/>
            <w:u w:val="none"/>
          </w:rPr>
          <w:t xml:space="preserve"> Cabe ao TCU o controle indireto do setor, voltado exclusivamente para a atuação do órgão regulador, sem prejuízo da responsabilização direta dos administradores do órgão ou entidade regulada que, exorbitando do controle e supervisão da agência competente, ou à sua revelia, tenham praticado irregularidade afeta a matéria de competência do Tribunal.</w:t>
        </w:r>
      </w:hyperlink>
      <w:r w:rsidR="00F61CDA">
        <w:rPr>
          <w:rFonts w:ascii="Times New Roman" w:hAnsi="Times New Roman"/>
          <w:sz w:val="20"/>
          <w:szCs w:val="20"/>
        </w:rPr>
        <w:t xml:space="preserve"> (grifo nosso)</w:t>
      </w:r>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22" w:anchor="/documento/jurisprudencia-selecionada/*/KEY%3AJURISPRUDENCIA-SELECIONADA-32582/score%20desc%2C%20COLEGIADO%20asc%2C%20ANOACORDAO%20desc%2C%20NUMACORDAO%20desc/0/sinonimos%3Dtrue" w:tgtFrame="_blank" w:history="1">
        <w:r w:rsidR="007D49A5" w:rsidRPr="007D49A5">
          <w:rPr>
            <w:rStyle w:val="Hyperlink"/>
            <w:rFonts w:ascii="Times New Roman" w:hAnsi="Times New Roman"/>
            <w:color w:val="auto"/>
            <w:sz w:val="20"/>
            <w:szCs w:val="20"/>
            <w:u w:val="none"/>
          </w:rPr>
          <w:t>Em se tratando de atos discricionários de agência reguladora, o TCU se limita a recomendar a adoção de providências consideradas por ele mais adequadas.</w:t>
        </w:r>
      </w:hyperlink>
    </w:p>
    <w:p w:rsidR="007D49A5" w:rsidRPr="007D49A5" w:rsidRDefault="009557C2" w:rsidP="00025CA6">
      <w:pPr>
        <w:numPr>
          <w:ilvl w:val="0"/>
          <w:numId w:val="12"/>
        </w:numPr>
        <w:shd w:val="clear" w:color="auto" w:fill="FFFFFF"/>
        <w:tabs>
          <w:tab w:val="clear" w:pos="720"/>
          <w:tab w:val="left" w:pos="2552"/>
        </w:tabs>
        <w:spacing w:before="100" w:beforeAutospacing="1" w:after="100" w:afterAutospacing="1" w:line="240" w:lineRule="auto"/>
        <w:ind w:left="2268" w:firstLine="0"/>
        <w:jc w:val="both"/>
        <w:rPr>
          <w:rFonts w:ascii="Times New Roman" w:hAnsi="Times New Roman"/>
          <w:sz w:val="20"/>
          <w:szCs w:val="20"/>
        </w:rPr>
      </w:pPr>
      <w:hyperlink r:id="rId23" w:anchor="/documento/jurisprudencia-selecionada/*/KEY%3AJURISPRUDENCIA-SELECIONADA-34188/score%20desc%2C%20COLEGIADO%20asc%2C%20ANOACORDAO%20desc%2C%20NUMACORDAO%20desc/0/sinonimos%3Dtrue" w:tgtFrame="_blank" w:history="1">
        <w:r w:rsidR="007D49A5" w:rsidRPr="007D49A5">
          <w:rPr>
            <w:rStyle w:val="Hyperlink"/>
            <w:rFonts w:ascii="Times New Roman" w:hAnsi="Times New Roman"/>
            <w:color w:val="auto"/>
            <w:sz w:val="20"/>
            <w:szCs w:val="20"/>
            <w:u w:val="none"/>
          </w:rPr>
          <w:t>A fiscalização do TCU, em processo de regulação, deve ser sempre de segunda ordem, sendo seu objeto a atuação das agências reguladoras como agentes estabilizadores e mediadores do jogo regulatório, não devendo versar sobre esse jogo regulatório em si mesmo considerado.</w:t>
        </w:r>
      </w:hyperlink>
    </w:p>
    <w:p w:rsidR="009557C2" w:rsidRDefault="009557C2" w:rsidP="005A621B">
      <w:pPr>
        <w:shd w:val="clear" w:color="auto" w:fill="FFFFFF"/>
        <w:spacing w:after="0" w:line="360" w:lineRule="auto"/>
        <w:ind w:firstLine="1701"/>
        <w:rPr>
          <w:rFonts w:ascii="Times New Roman" w:hAnsi="Times New Roman"/>
          <w:b/>
          <w:sz w:val="24"/>
          <w:szCs w:val="24"/>
        </w:rPr>
      </w:pPr>
    </w:p>
    <w:p w:rsidR="00277986" w:rsidRPr="00B80B7F" w:rsidRDefault="00057E68" w:rsidP="005A621B">
      <w:pPr>
        <w:shd w:val="clear" w:color="auto" w:fill="FFFFFF"/>
        <w:spacing w:after="0" w:line="360" w:lineRule="auto"/>
        <w:ind w:firstLine="1701"/>
        <w:rPr>
          <w:rFonts w:ascii="Times New Roman" w:hAnsi="Times New Roman"/>
          <w:b/>
          <w:sz w:val="24"/>
          <w:szCs w:val="24"/>
        </w:rPr>
      </w:pPr>
      <w:r>
        <w:rPr>
          <w:rFonts w:ascii="Times New Roman" w:hAnsi="Times New Roman"/>
          <w:b/>
          <w:sz w:val="24"/>
          <w:szCs w:val="24"/>
        </w:rPr>
        <w:t>III -</w:t>
      </w:r>
      <w:r w:rsidR="00277986" w:rsidRPr="00B80B7F">
        <w:rPr>
          <w:rFonts w:ascii="Times New Roman" w:hAnsi="Times New Roman"/>
          <w:b/>
          <w:sz w:val="24"/>
          <w:szCs w:val="24"/>
        </w:rPr>
        <w:t xml:space="preserve"> Conclusão</w:t>
      </w:r>
    </w:p>
    <w:p w:rsidR="003F17A9" w:rsidRPr="00B80B7F" w:rsidRDefault="003F17A9" w:rsidP="005A621B">
      <w:pPr>
        <w:shd w:val="clear" w:color="auto" w:fill="FFFFFF"/>
        <w:spacing w:after="0" w:line="360" w:lineRule="auto"/>
        <w:ind w:firstLine="1701"/>
        <w:rPr>
          <w:rFonts w:ascii="Times New Roman" w:hAnsi="Times New Roman"/>
          <w:b/>
          <w:sz w:val="24"/>
          <w:szCs w:val="24"/>
        </w:rPr>
      </w:pPr>
    </w:p>
    <w:p w:rsidR="00AB213C" w:rsidRPr="00B80B7F" w:rsidRDefault="00277986" w:rsidP="00AB213C">
      <w:pPr>
        <w:pStyle w:val="Recuodecorpodetexto"/>
        <w:spacing w:after="0" w:line="360" w:lineRule="auto"/>
        <w:ind w:left="0" w:firstLine="1701"/>
        <w:jc w:val="both"/>
        <w:rPr>
          <w:b/>
          <w:sz w:val="24"/>
          <w:szCs w:val="24"/>
        </w:rPr>
      </w:pPr>
      <w:r w:rsidRPr="00B80B7F">
        <w:rPr>
          <w:sz w:val="24"/>
          <w:szCs w:val="24"/>
        </w:rPr>
        <w:t xml:space="preserve">Por todo o exposto, a par das razões de ordem legal </w:t>
      </w:r>
      <w:r w:rsidR="00F61CDA">
        <w:rPr>
          <w:sz w:val="24"/>
          <w:szCs w:val="24"/>
        </w:rPr>
        <w:t>e o entendimento do TCU</w:t>
      </w:r>
      <w:r w:rsidRPr="00B80B7F">
        <w:rPr>
          <w:sz w:val="24"/>
          <w:szCs w:val="24"/>
        </w:rPr>
        <w:t xml:space="preserve"> supra transcritos, e considerando ainda as bem lançadas razões e fundamentos anotados no Parecer Administrativo nº 0</w:t>
      </w:r>
      <w:r w:rsidR="00F61CDA">
        <w:rPr>
          <w:sz w:val="24"/>
          <w:szCs w:val="24"/>
        </w:rPr>
        <w:t>81</w:t>
      </w:r>
      <w:r w:rsidRPr="00B80B7F">
        <w:rPr>
          <w:sz w:val="24"/>
          <w:szCs w:val="24"/>
        </w:rPr>
        <w:t>/201</w:t>
      </w:r>
      <w:r w:rsidR="00F61CDA">
        <w:rPr>
          <w:sz w:val="24"/>
          <w:szCs w:val="24"/>
        </w:rPr>
        <w:t>9, do</w:t>
      </w:r>
      <w:r w:rsidRPr="00B80B7F">
        <w:rPr>
          <w:sz w:val="24"/>
          <w:szCs w:val="24"/>
        </w:rPr>
        <w:t xml:space="preserve"> Procedimento Administrativo nº </w:t>
      </w:r>
      <w:r w:rsidR="00F61CDA">
        <w:rPr>
          <w:sz w:val="24"/>
          <w:szCs w:val="24"/>
        </w:rPr>
        <w:t>106</w:t>
      </w:r>
      <w:r w:rsidRPr="00B80B7F">
        <w:rPr>
          <w:sz w:val="24"/>
          <w:szCs w:val="24"/>
        </w:rPr>
        <w:t>/201</w:t>
      </w:r>
      <w:r w:rsidR="00F61CDA">
        <w:rPr>
          <w:sz w:val="24"/>
          <w:szCs w:val="24"/>
        </w:rPr>
        <w:t>9</w:t>
      </w:r>
      <w:r w:rsidRPr="00B80B7F">
        <w:rPr>
          <w:sz w:val="24"/>
          <w:szCs w:val="24"/>
        </w:rPr>
        <w:t xml:space="preserve"> – da lavra conjunta </w:t>
      </w:r>
      <w:r w:rsidR="00032794" w:rsidRPr="00B80B7F">
        <w:rPr>
          <w:sz w:val="24"/>
          <w:szCs w:val="24"/>
        </w:rPr>
        <w:t xml:space="preserve">do Gerente de Controle, Regulação e Fiscalização de Transporte Coletivo e demais Serviços Públicos (Daniel </w:t>
      </w:r>
      <w:proofErr w:type="spellStart"/>
      <w:r w:rsidR="00032794" w:rsidRPr="00B80B7F">
        <w:rPr>
          <w:sz w:val="24"/>
          <w:szCs w:val="24"/>
        </w:rPr>
        <w:t>Ant</w:t>
      </w:r>
      <w:r w:rsidR="00AF2E7E">
        <w:rPr>
          <w:sz w:val="24"/>
          <w:szCs w:val="24"/>
        </w:rPr>
        <w:t>o</w:t>
      </w:r>
      <w:r w:rsidR="00032794" w:rsidRPr="00B80B7F">
        <w:rPr>
          <w:sz w:val="24"/>
          <w:szCs w:val="24"/>
        </w:rPr>
        <w:t>nio</w:t>
      </w:r>
      <w:proofErr w:type="spellEnd"/>
      <w:r w:rsidR="00032794" w:rsidRPr="00B80B7F">
        <w:rPr>
          <w:sz w:val="24"/>
          <w:szCs w:val="24"/>
        </w:rPr>
        <w:t xml:space="preserve"> </w:t>
      </w:r>
      <w:proofErr w:type="spellStart"/>
      <w:r w:rsidR="00032794" w:rsidRPr="00B80B7F">
        <w:rPr>
          <w:sz w:val="24"/>
          <w:szCs w:val="24"/>
        </w:rPr>
        <w:t>Narzetti</w:t>
      </w:r>
      <w:proofErr w:type="spellEnd"/>
      <w:r w:rsidRPr="00B80B7F">
        <w:rPr>
          <w:sz w:val="24"/>
          <w:szCs w:val="24"/>
        </w:rPr>
        <w:t xml:space="preserve">), e do Economista (Ademir Manoel Gonçalves) da AGIR, </w:t>
      </w:r>
      <w:r w:rsidR="00AB213C" w:rsidRPr="00B80B7F">
        <w:rPr>
          <w:sz w:val="24"/>
          <w:szCs w:val="24"/>
        </w:rPr>
        <w:t xml:space="preserve">esta Assessoria Jurídica, </w:t>
      </w:r>
      <w:r w:rsidR="00AB213C" w:rsidRPr="00B80B7F">
        <w:rPr>
          <w:b/>
          <w:sz w:val="24"/>
          <w:szCs w:val="24"/>
        </w:rPr>
        <w:t>ENTENDE, CONCLUI E OPINA:</w:t>
      </w:r>
    </w:p>
    <w:p w:rsidR="008B7482" w:rsidRDefault="00AB213C" w:rsidP="008B7482">
      <w:pPr>
        <w:numPr>
          <w:ilvl w:val="0"/>
          <w:numId w:val="8"/>
        </w:numPr>
        <w:spacing w:after="0" w:line="360" w:lineRule="auto"/>
        <w:jc w:val="both"/>
        <w:rPr>
          <w:rFonts w:ascii="Times New Roman" w:hAnsi="Times New Roman"/>
          <w:sz w:val="24"/>
          <w:szCs w:val="24"/>
        </w:rPr>
      </w:pPr>
      <w:r w:rsidRPr="00B80B7F">
        <w:rPr>
          <w:rFonts w:ascii="Times New Roman" w:hAnsi="Times New Roman"/>
          <w:sz w:val="24"/>
          <w:szCs w:val="24"/>
        </w:rPr>
        <w:t xml:space="preserve">Acompanhar o Parecer Administrativo nº </w:t>
      </w:r>
      <w:r w:rsidR="00F61CDA">
        <w:rPr>
          <w:rFonts w:ascii="Times New Roman" w:hAnsi="Times New Roman"/>
          <w:sz w:val="24"/>
          <w:szCs w:val="24"/>
        </w:rPr>
        <w:t>081</w:t>
      </w:r>
      <w:r w:rsidRPr="00B80B7F">
        <w:rPr>
          <w:rFonts w:ascii="Times New Roman" w:hAnsi="Times New Roman"/>
          <w:sz w:val="24"/>
          <w:szCs w:val="24"/>
        </w:rPr>
        <w:t>/2018, pelas suas razões e fundamentos</w:t>
      </w:r>
      <w:r w:rsidR="008B7482">
        <w:rPr>
          <w:rFonts w:ascii="Times New Roman" w:hAnsi="Times New Roman"/>
          <w:sz w:val="24"/>
          <w:szCs w:val="24"/>
        </w:rPr>
        <w:t xml:space="preserve">, concedendo o Reajuste Tarifário no percentual de </w:t>
      </w:r>
      <w:r w:rsidR="008B7482" w:rsidRPr="008B7482">
        <w:rPr>
          <w:rFonts w:ascii="Times New Roman" w:hAnsi="Times New Roman"/>
          <w:b/>
          <w:bCs/>
          <w:sz w:val="24"/>
          <w:szCs w:val="24"/>
        </w:rPr>
        <w:t>4,</w:t>
      </w:r>
      <w:r w:rsidR="008B7482" w:rsidRPr="00E4107E">
        <w:rPr>
          <w:rFonts w:ascii="Times New Roman" w:hAnsi="Times New Roman"/>
          <w:b/>
          <w:bCs/>
          <w:sz w:val="24"/>
          <w:szCs w:val="24"/>
        </w:rPr>
        <w:t>86%</w:t>
      </w:r>
      <w:r w:rsidR="008B7482" w:rsidRPr="00E4107E">
        <w:rPr>
          <w:rFonts w:ascii="Times New Roman" w:hAnsi="Times New Roman"/>
          <w:sz w:val="24"/>
          <w:szCs w:val="24"/>
        </w:rPr>
        <w:t xml:space="preserve"> (quatro virgula oitenta e seis por cento)</w:t>
      </w:r>
      <w:r w:rsidR="008B7482">
        <w:rPr>
          <w:rFonts w:ascii="Times New Roman" w:hAnsi="Times New Roman"/>
          <w:sz w:val="24"/>
          <w:szCs w:val="24"/>
        </w:rPr>
        <w:t xml:space="preserve"> para o reajuste da tarifa para serviço de transporte público coletivo do município de </w:t>
      </w:r>
      <w:proofErr w:type="spellStart"/>
      <w:r w:rsidR="008B7482">
        <w:rPr>
          <w:rFonts w:ascii="Times New Roman" w:hAnsi="Times New Roman"/>
          <w:sz w:val="24"/>
          <w:szCs w:val="24"/>
        </w:rPr>
        <w:t>Apiúna</w:t>
      </w:r>
      <w:proofErr w:type="spellEnd"/>
      <w:r w:rsidR="008B7482">
        <w:rPr>
          <w:rFonts w:ascii="Times New Roman" w:hAnsi="Times New Roman"/>
          <w:sz w:val="24"/>
          <w:szCs w:val="24"/>
        </w:rPr>
        <w:t>;</w:t>
      </w:r>
    </w:p>
    <w:p w:rsidR="00A76302" w:rsidRDefault="008B7482" w:rsidP="006B6F55">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Adotar ainda as recomendações constantes nas alíneas “b”</w:t>
      </w:r>
      <w:r w:rsidR="00320D95">
        <w:rPr>
          <w:rFonts w:ascii="Times New Roman" w:hAnsi="Times New Roman"/>
          <w:sz w:val="24"/>
          <w:szCs w:val="24"/>
        </w:rPr>
        <w:t xml:space="preserve"> a </w:t>
      </w:r>
      <w:r w:rsidR="001A3EDC">
        <w:rPr>
          <w:rFonts w:ascii="Times New Roman" w:hAnsi="Times New Roman"/>
          <w:sz w:val="24"/>
          <w:szCs w:val="24"/>
        </w:rPr>
        <w:t>“</w:t>
      </w:r>
      <w:r w:rsidR="00320D95">
        <w:rPr>
          <w:rFonts w:ascii="Times New Roman" w:hAnsi="Times New Roman"/>
          <w:sz w:val="24"/>
          <w:szCs w:val="24"/>
        </w:rPr>
        <w:t>g</w:t>
      </w:r>
      <w:r>
        <w:rPr>
          <w:rFonts w:ascii="Times New Roman" w:hAnsi="Times New Roman"/>
          <w:sz w:val="24"/>
          <w:szCs w:val="24"/>
        </w:rPr>
        <w:t>”, do item 6, do Parecer Administrativo 081/2019.</w:t>
      </w:r>
    </w:p>
    <w:p w:rsidR="00604001" w:rsidRDefault="00604001" w:rsidP="006B6F55">
      <w:pPr>
        <w:spacing w:after="0" w:line="360" w:lineRule="auto"/>
        <w:ind w:firstLine="1701"/>
        <w:jc w:val="both"/>
        <w:rPr>
          <w:rFonts w:ascii="Times New Roman" w:hAnsi="Times New Roman"/>
          <w:sz w:val="24"/>
          <w:szCs w:val="24"/>
        </w:rPr>
      </w:pPr>
    </w:p>
    <w:p w:rsidR="00AB213C" w:rsidRPr="00B80B7F" w:rsidRDefault="00AB213C" w:rsidP="006B6F55">
      <w:pPr>
        <w:spacing w:after="0" w:line="360" w:lineRule="auto"/>
        <w:ind w:firstLine="1701"/>
        <w:jc w:val="both"/>
        <w:rPr>
          <w:rFonts w:ascii="Times New Roman" w:hAnsi="Times New Roman"/>
          <w:sz w:val="24"/>
          <w:szCs w:val="24"/>
        </w:rPr>
      </w:pPr>
      <w:r w:rsidRPr="00B80B7F">
        <w:rPr>
          <w:rFonts w:ascii="Times New Roman" w:hAnsi="Times New Roman"/>
          <w:sz w:val="24"/>
          <w:szCs w:val="24"/>
        </w:rPr>
        <w:t>É o Parecer, resguardando o poder discricionário do gestor público quanto à oportunidade e conveniência de acatar ou não as sugestões apresentadas, devendo o mesmo, ser encaminhado e submetido à municipalidade, após despacho do Diretor Geral da AGIR.</w:t>
      </w:r>
    </w:p>
    <w:p w:rsidR="00AB213C" w:rsidRPr="00B80B7F" w:rsidRDefault="00AB213C" w:rsidP="00AB213C">
      <w:pPr>
        <w:pStyle w:val="Recuodecorpodetexto"/>
        <w:spacing w:after="0" w:line="360" w:lineRule="auto"/>
        <w:ind w:left="0" w:firstLine="1701"/>
        <w:jc w:val="right"/>
        <w:rPr>
          <w:rFonts w:eastAsia="Calibri"/>
          <w:sz w:val="24"/>
          <w:szCs w:val="24"/>
        </w:rPr>
      </w:pPr>
    </w:p>
    <w:p w:rsidR="00AB213C" w:rsidRPr="00B80B7F" w:rsidRDefault="00AB213C" w:rsidP="00AB213C">
      <w:pPr>
        <w:pStyle w:val="Recuodecorpodetexto"/>
        <w:spacing w:after="0" w:line="360" w:lineRule="auto"/>
        <w:ind w:left="0" w:firstLine="1701"/>
        <w:jc w:val="right"/>
        <w:rPr>
          <w:rFonts w:eastAsia="Calibri"/>
          <w:sz w:val="24"/>
          <w:szCs w:val="24"/>
        </w:rPr>
      </w:pPr>
      <w:r w:rsidRPr="00B80B7F">
        <w:rPr>
          <w:rFonts w:eastAsia="Calibri"/>
          <w:sz w:val="24"/>
          <w:szCs w:val="24"/>
        </w:rPr>
        <w:t xml:space="preserve">Blumenau (SC), em </w:t>
      </w:r>
      <w:r w:rsidR="008B7482">
        <w:rPr>
          <w:rFonts w:eastAsia="Calibri"/>
          <w:sz w:val="24"/>
          <w:szCs w:val="24"/>
        </w:rPr>
        <w:t>05</w:t>
      </w:r>
      <w:r w:rsidR="006B6F55" w:rsidRPr="00B80B7F">
        <w:rPr>
          <w:rFonts w:eastAsia="Calibri"/>
          <w:sz w:val="24"/>
          <w:szCs w:val="24"/>
        </w:rPr>
        <w:t xml:space="preserve"> de </w:t>
      </w:r>
      <w:r w:rsidR="008B7482">
        <w:rPr>
          <w:rFonts w:eastAsia="Calibri"/>
          <w:sz w:val="24"/>
          <w:szCs w:val="24"/>
        </w:rPr>
        <w:t xml:space="preserve">junho </w:t>
      </w:r>
      <w:r w:rsidRPr="00B80B7F">
        <w:rPr>
          <w:rFonts w:eastAsia="Calibri"/>
          <w:sz w:val="24"/>
          <w:szCs w:val="24"/>
        </w:rPr>
        <w:t>de 201</w:t>
      </w:r>
      <w:r w:rsidR="008B7482">
        <w:rPr>
          <w:rFonts w:eastAsia="Calibri"/>
          <w:sz w:val="24"/>
          <w:szCs w:val="24"/>
        </w:rPr>
        <w:t>9</w:t>
      </w:r>
      <w:r w:rsidRPr="00B80B7F">
        <w:rPr>
          <w:rFonts w:eastAsia="Calibri"/>
          <w:sz w:val="24"/>
          <w:szCs w:val="24"/>
        </w:rPr>
        <w:t xml:space="preserve">. </w:t>
      </w:r>
    </w:p>
    <w:p w:rsidR="00AB213C" w:rsidRPr="00B80B7F" w:rsidRDefault="00AB213C" w:rsidP="00AB213C">
      <w:pPr>
        <w:pStyle w:val="Recuodecorpodetexto"/>
        <w:spacing w:after="0" w:line="360" w:lineRule="auto"/>
        <w:jc w:val="right"/>
        <w:rPr>
          <w:sz w:val="24"/>
          <w:szCs w:val="24"/>
        </w:rPr>
      </w:pPr>
    </w:p>
    <w:p w:rsidR="009557C2" w:rsidRDefault="009557C2" w:rsidP="00247F9B">
      <w:pPr>
        <w:spacing w:after="0" w:line="360" w:lineRule="auto"/>
        <w:jc w:val="center"/>
        <w:rPr>
          <w:rFonts w:ascii="Times New Roman" w:hAnsi="Times New Roman"/>
          <w:b/>
          <w:sz w:val="24"/>
          <w:szCs w:val="24"/>
        </w:rPr>
      </w:pPr>
    </w:p>
    <w:p w:rsidR="00277986" w:rsidRPr="00B80B7F" w:rsidRDefault="00C94E72" w:rsidP="00247F9B">
      <w:pPr>
        <w:spacing w:after="0" w:line="360" w:lineRule="auto"/>
        <w:jc w:val="center"/>
        <w:rPr>
          <w:rFonts w:ascii="Times New Roman" w:hAnsi="Times New Roman"/>
          <w:b/>
          <w:sz w:val="24"/>
          <w:szCs w:val="24"/>
        </w:rPr>
      </w:pPr>
      <w:r w:rsidRPr="00B80B7F">
        <w:rPr>
          <w:rFonts w:ascii="Times New Roman" w:hAnsi="Times New Roman"/>
          <w:b/>
          <w:sz w:val="24"/>
          <w:szCs w:val="24"/>
        </w:rPr>
        <w:t>MARIA DE FÁTIMA MARTINS</w:t>
      </w:r>
    </w:p>
    <w:p w:rsidR="0096266D" w:rsidRPr="00B80B7F" w:rsidRDefault="00277986">
      <w:pPr>
        <w:spacing w:after="0" w:line="360" w:lineRule="auto"/>
        <w:jc w:val="center"/>
        <w:rPr>
          <w:rFonts w:ascii="Times New Roman" w:hAnsi="Times New Roman"/>
          <w:sz w:val="24"/>
          <w:szCs w:val="24"/>
        </w:rPr>
      </w:pPr>
      <w:r w:rsidRPr="00B80B7F">
        <w:rPr>
          <w:rFonts w:ascii="Times New Roman" w:hAnsi="Times New Roman"/>
          <w:sz w:val="24"/>
          <w:szCs w:val="24"/>
        </w:rPr>
        <w:t>Assessor</w:t>
      </w:r>
      <w:r w:rsidR="00382B9D" w:rsidRPr="00B80B7F">
        <w:rPr>
          <w:rFonts w:ascii="Times New Roman" w:hAnsi="Times New Roman"/>
          <w:sz w:val="24"/>
          <w:szCs w:val="24"/>
        </w:rPr>
        <w:t>a</w:t>
      </w:r>
      <w:r w:rsidRPr="00B80B7F">
        <w:rPr>
          <w:rFonts w:ascii="Times New Roman" w:hAnsi="Times New Roman"/>
          <w:sz w:val="24"/>
          <w:szCs w:val="24"/>
        </w:rPr>
        <w:t xml:space="preserve"> Jurídic</w:t>
      </w:r>
      <w:r w:rsidR="00382B9D" w:rsidRPr="00B80B7F">
        <w:rPr>
          <w:rFonts w:ascii="Times New Roman" w:hAnsi="Times New Roman"/>
          <w:sz w:val="24"/>
          <w:szCs w:val="24"/>
        </w:rPr>
        <w:t>a</w:t>
      </w:r>
      <w:r w:rsidRPr="00B80B7F">
        <w:rPr>
          <w:rFonts w:ascii="Times New Roman" w:hAnsi="Times New Roman"/>
          <w:sz w:val="24"/>
          <w:szCs w:val="24"/>
        </w:rPr>
        <w:t xml:space="preserve"> da AGIR </w:t>
      </w:r>
      <w:r w:rsidR="00247F9B" w:rsidRPr="00B80B7F">
        <w:rPr>
          <w:rFonts w:ascii="Times New Roman" w:hAnsi="Times New Roman"/>
          <w:sz w:val="24"/>
          <w:szCs w:val="24"/>
        </w:rPr>
        <w:t xml:space="preserve">- </w:t>
      </w:r>
      <w:r w:rsidRPr="00B80B7F">
        <w:rPr>
          <w:rFonts w:ascii="Times New Roman" w:hAnsi="Times New Roman"/>
          <w:sz w:val="24"/>
          <w:szCs w:val="24"/>
        </w:rPr>
        <w:t xml:space="preserve">OAB-SC </w:t>
      </w:r>
      <w:r w:rsidR="00382B9D" w:rsidRPr="00B80B7F">
        <w:rPr>
          <w:rFonts w:ascii="Times New Roman" w:hAnsi="Times New Roman"/>
          <w:sz w:val="24"/>
          <w:szCs w:val="24"/>
        </w:rPr>
        <w:t>35</w:t>
      </w:r>
      <w:r w:rsidRPr="00B80B7F">
        <w:rPr>
          <w:rFonts w:ascii="Times New Roman" w:hAnsi="Times New Roman"/>
          <w:sz w:val="24"/>
          <w:szCs w:val="24"/>
        </w:rPr>
        <w:t>.</w:t>
      </w:r>
      <w:r w:rsidR="00382B9D" w:rsidRPr="00B80B7F">
        <w:rPr>
          <w:rFonts w:ascii="Times New Roman" w:hAnsi="Times New Roman"/>
          <w:sz w:val="24"/>
          <w:szCs w:val="24"/>
        </w:rPr>
        <w:t>127</w:t>
      </w:r>
      <w:r w:rsidR="00C94E72" w:rsidRPr="00B80B7F">
        <w:rPr>
          <w:rFonts w:ascii="Times New Roman" w:hAnsi="Times New Roman"/>
          <w:sz w:val="24"/>
          <w:szCs w:val="24"/>
        </w:rPr>
        <w:t>.</w:t>
      </w:r>
    </w:p>
    <w:sectPr w:rsidR="0096266D" w:rsidRPr="00B80B7F" w:rsidSect="003F17A9">
      <w:headerReference w:type="even" r:id="rId24"/>
      <w:headerReference w:type="default" r:id="rId25"/>
      <w:footerReference w:type="even" r:id="rId26"/>
      <w:footerReference w:type="default" r:id="rId27"/>
      <w:headerReference w:type="first" r:id="rId28"/>
      <w:footerReference w:type="first" r:id="rId29"/>
      <w:pgSz w:w="11906" w:h="16838"/>
      <w:pgMar w:top="2127" w:right="1134" w:bottom="1276" w:left="1701" w:header="56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C6A" w:rsidRDefault="00217C6A" w:rsidP="007A1E89">
      <w:pPr>
        <w:spacing w:after="0" w:line="240" w:lineRule="auto"/>
      </w:pPr>
      <w:r>
        <w:separator/>
      </w:r>
    </w:p>
  </w:endnote>
  <w:endnote w:type="continuationSeparator" w:id="0">
    <w:p w:rsidR="00217C6A" w:rsidRDefault="00217C6A" w:rsidP="007A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7C2" w:rsidRDefault="009557C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7C2" w:rsidRPr="009557C2" w:rsidRDefault="009557C2">
    <w:pPr>
      <w:pStyle w:val="Rodap"/>
      <w:jc w:val="center"/>
      <w:rPr>
        <w:b/>
        <w:bCs/>
        <w:color w:val="000000" w:themeColor="text1"/>
      </w:rPr>
    </w:pPr>
    <w:r w:rsidRPr="0077487D">
      <w:rPr>
        <w:noProof/>
      </w:rPr>
      <w:drawing>
        <wp:inline distT="0" distB="0" distL="0" distR="0" wp14:anchorId="20EF56C5" wp14:editId="18E085F5">
          <wp:extent cx="5743575" cy="439420"/>
          <wp:effectExtent l="0" t="0" r="0" b="0"/>
          <wp:docPr id="6" name="Imagem 2" descr="Cabeçalh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beçalh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889" cy="439444"/>
                  </a:xfrm>
                  <a:prstGeom prst="rect">
                    <a:avLst/>
                  </a:prstGeom>
                  <a:noFill/>
                  <a:ln>
                    <a:noFill/>
                  </a:ln>
                </pic:spPr>
              </pic:pic>
            </a:graphicData>
          </a:graphic>
        </wp:inline>
      </w:drawing>
    </w:r>
    <w:r w:rsidRPr="009557C2">
      <w:rPr>
        <w:b/>
        <w:bCs/>
        <w:color w:val="000000" w:themeColor="text1"/>
      </w:rPr>
      <w:ptab w:relativeTo="margin" w:alignment="right" w:leader="none"/>
    </w:r>
    <w:r w:rsidRPr="009557C2">
      <w:rPr>
        <w:b/>
        <w:bCs/>
        <w:color w:val="000000" w:themeColor="text1"/>
      </w:rPr>
      <w:t xml:space="preserve">Página </w:t>
    </w:r>
    <w:r w:rsidRPr="009557C2">
      <w:rPr>
        <w:b/>
        <w:bCs/>
        <w:color w:val="000000" w:themeColor="text1"/>
      </w:rPr>
      <w:fldChar w:fldCharType="begin"/>
    </w:r>
    <w:r w:rsidRPr="009557C2">
      <w:rPr>
        <w:b/>
        <w:bCs/>
        <w:color w:val="000000" w:themeColor="text1"/>
      </w:rPr>
      <w:instrText>PAGE  \* Arabic  \* MERGEFORMAT</w:instrText>
    </w:r>
    <w:r w:rsidRPr="009557C2">
      <w:rPr>
        <w:b/>
        <w:bCs/>
        <w:color w:val="000000" w:themeColor="text1"/>
      </w:rPr>
      <w:fldChar w:fldCharType="separate"/>
    </w:r>
    <w:r w:rsidRPr="009557C2">
      <w:rPr>
        <w:b/>
        <w:bCs/>
        <w:color w:val="000000" w:themeColor="text1"/>
      </w:rPr>
      <w:t>2</w:t>
    </w:r>
    <w:r w:rsidRPr="009557C2">
      <w:rPr>
        <w:b/>
        <w:bCs/>
        <w:color w:val="000000" w:themeColor="text1"/>
      </w:rPr>
      <w:fldChar w:fldCharType="end"/>
    </w:r>
    <w:r w:rsidRPr="009557C2">
      <w:rPr>
        <w:b/>
        <w:bCs/>
        <w:color w:val="000000" w:themeColor="text1"/>
      </w:rPr>
      <w:t xml:space="preserve"> de </w:t>
    </w:r>
    <w:r w:rsidRPr="009557C2">
      <w:rPr>
        <w:b/>
        <w:bCs/>
        <w:color w:val="000000" w:themeColor="text1"/>
      </w:rPr>
      <w:fldChar w:fldCharType="begin"/>
    </w:r>
    <w:r w:rsidRPr="009557C2">
      <w:rPr>
        <w:b/>
        <w:bCs/>
        <w:color w:val="000000" w:themeColor="text1"/>
      </w:rPr>
      <w:instrText>NUMPAGES \ * Arábico \ * MERGEFORMAT</w:instrText>
    </w:r>
    <w:r w:rsidRPr="009557C2">
      <w:rPr>
        <w:b/>
        <w:bCs/>
        <w:color w:val="000000" w:themeColor="text1"/>
      </w:rPr>
      <w:fldChar w:fldCharType="separate"/>
    </w:r>
    <w:r w:rsidRPr="009557C2">
      <w:rPr>
        <w:b/>
        <w:bCs/>
        <w:color w:val="000000" w:themeColor="text1"/>
      </w:rPr>
      <w:t>2</w:t>
    </w:r>
    <w:r w:rsidRPr="009557C2">
      <w:rPr>
        <w:b/>
        <w:bCs/>
        <w:color w:val="000000" w:themeColor="text1"/>
      </w:rPr>
      <w:fldChar w:fldCharType="end"/>
    </w:r>
  </w:p>
  <w:p w:rsidR="009620E7" w:rsidRDefault="009620E7" w:rsidP="00E30344">
    <w:pPr>
      <w:pStyle w:val="Rodap"/>
      <w:jc w:val="righ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388460"/>
      <w:docPartObj>
        <w:docPartGallery w:val="Page Numbers (Bottom of Page)"/>
        <w:docPartUnique/>
      </w:docPartObj>
    </w:sdtPr>
    <w:sdtContent>
      <w:sdt>
        <w:sdtPr>
          <w:id w:val="-1705238520"/>
          <w:docPartObj>
            <w:docPartGallery w:val="Page Numbers (Top of Page)"/>
            <w:docPartUnique/>
          </w:docPartObj>
        </w:sdtPr>
        <w:sdtContent>
          <w:p w:rsidR="009557C2" w:rsidRDefault="009557C2" w:rsidP="009557C2">
            <w:pPr>
              <w:pStyle w:val="Rodap"/>
              <w:jc w:val="right"/>
            </w:pPr>
            <w:r w:rsidRPr="0077487D">
              <w:rPr>
                <w:noProof/>
              </w:rPr>
              <w:drawing>
                <wp:inline distT="0" distB="0" distL="0" distR="0" wp14:anchorId="6DCD69F4" wp14:editId="7C66A8F4">
                  <wp:extent cx="5800725" cy="439420"/>
                  <wp:effectExtent l="0" t="0" r="9525" b="0"/>
                  <wp:docPr id="4" name="Imagem 2" descr="Cabeçalh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beçalh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044" cy="439444"/>
                          </a:xfrm>
                          <a:prstGeom prst="rect">
                            <a:avLst/>
                          </a:prstGeom>
                          <a:noFill/>
                          <a:ln>
                            <a:noFill/>
                          </a:ln>
                        </pic:spPr>
                      </pic:pic>
                    </a:graphicData>
                  </a:graphic>
                </wp:inline>
              </w:drawing>
            </w:r>
            <w:r>
              <w:t xml:space="preserve"> 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9620E7" w:rsidRDefault="009620E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C6A" w:rsidRDefault="00217C6A" w:rsidP="007A1E89">
      <w:pPr>
        <w:spacing w:after="0" w:line="240" w:lineRule="auto"/>
      </w:pPr>
      <w:r>
        <w:separator/>
      </w:r>
    </w:p>
  </w:footnote>
  <w:footnote w:type="continuationSeparator" w:id="0">
    <w:p w:rsidR="00217C6A" w:rsidRDefault="00217C6A" w:rsidP="007A1E89">
      <w:pPr>
        <w:spacing w:after="0" w:line="240" w:lineRule="auto"/>
      </w:pPr>
      <w:r>
        <w:continuationSeparator/>
      </w:r>
    </w:p>
  </w:footnote>
  <w:footnote w:id="1">
    <w:p w:rsidR="00025CA6" w:rsidRDefault="00025CA6">
      <w:pPr>
        <w:pStyle w:val="Textodenotaderodap"/>
      </w:pPr>
      <w:r>
        <w:rPr>
          <w:rStyle w:val="Refdenotaderodap"/>
        </w:rPr>
        <w:footnoteRef/>
      </w:r>
      <w:r>
        <w:t xml:space="preserve"> Disponível: </w:t>
      </w:r>
      <w:hyperlink r:id="rId1" w:anchor="/documento/jurisprudencia-selecionada/*/KEY:JURISPRUDENCIA-SELECIONADA-34189/DTRELEVANCIA%2520desc%252C%2520COLEGIADO%2520asc%252C%2520ANOACORDAO%2520desc%252C%2520NUMACORDAO%2520desc/0/sinonimos%3Dfalse" w:history="1">
        <w:r w:rsidRPr="00025CA6">
          <w:rPr>
            <w:rStyle w:val="Hyperlink"/>
            <w:color w:val="auto"/>
            <w:u w:val="none"/>
          </w:rPr>
          <w:t>https://pesquisa.apps.tcu.gov.br/#/documento/jurisprudencia-selecionada/*/KEY:JURISPRUDENCIA-SELECIONADA-34189/DTRELEVANCIA%2520desc%252C%2520COLEGIADO%2520asc%252C%2520ANOACORDAO%2520desc%252C%2520NUMACORDAO%2520desc/0/sinonimos%3Dfalse</w:t>
        </w:r>
      </w:hyperlink>
      <w:r w:rsidRPr="00025CA6">
        <w:t>. Acesso em 05/</w:t>
      </w:r>
      <w:proofErr w:type="spellStart"/>
      <w:r w:rsidRPr="00025CA6">
        <w:t>jun</w:t>
      </w:r>
      <w:proofErr w:type="spellEnd"/>
      <w:r w:rsidRPr="00025CA6">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7C2" w:rsidRDefault="009557C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0E7" w:rsidRDefault="009620E7">
    <w:pPr>
      <w:pStyle w:val="Cabealho"/>
    </w:pPr>
  </w:p>
  <w:p w:rsidR="009620E7" w:rsidRDefault="009557C2">
    <w:pPr>
      <w:pStyle w:val="Cabealho"/>
    </w:pP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abeçalho E-mail" style="width:450pt;height:47.25pt">
          <v:imagedata r:id="rId1" r:href="rId2"/>
        </v:shape>
      </w:pict>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0E7" w:rsidRDefault="009557C2">
    <w:pPr>
      <w:pStyle w:val="Cabealho"/>
    </w:pP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fldChar w:fldCharType="begin"/>
    </w:r>
    <w:r>
      <w:rPr>
        <w:color w:val="000000"/>
      </w:rPr>
      <w:instrText xml:space="preserve"> INCLUDEPICTURE  "cid:image001.png@01D4B17D.93862F20" \* MERGEFORMATINET </w:instrText>
    </w:r>
    <w:r>
      <w:rPr>
        <w:color w:val="000000"/>
      </w:rPr>
      <w:fldChar w:fldCharType="separate"/>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abeçalho E-mail" style="width:450pt;height:47.25pt">
          <v:imagedata r:id="rId2" r:href="rId1"/>
        </v:shape>
      </w:pict>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1A48"/>
    <w:multiLevelType w:val="hybridMultilevel"/>
    <w:tmpl w:val="E8E088F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 w15:restartNumberingAfterBreak="0">
    <w:nsid w:val="0E6F57D7"/>
    <w:multiLevelType w:val="hybridMultilevel"/>
    <w:tmpl w:val="6F1CF028"/>
    <w:lvl w:ilvl="0" w:tplc="CF685B0C">
      <w:start w:val="1"/>
      <w:numFmt w:val="lowerLetter"/>
      <w:lvlText w:val="%1)"/>
      <w:lvlJc w:val="left"/>
      <w:pPr>
        <w:ind w:left="2836" w:hanging="360"/>
      </w:pPr>
      <w:rPr>
        <w:rFonts w:hint="default"/>
      </w:rPr>
    </w:lvl>
    <w:lvl w:ilvl="1" w:tplc="04160019" w:tentative="1">
      <w:start w:val="1"/>
      <w:numFmt w:val="lowerLetter"/>
      <w:lvlText w:val="%2."/>
      <w:lvlJc w:val="left"/>
      <w:pPr>
        <w:ind w:left="3556" w:hanging="360"/>
      </w:pPr>
    </w:lvl>
    <w:lvl w:ilvl="2" w:tplc="0416001B" w:tentative="1">
      <w:start w:val="1"/>
      <w:numFmt w:val="lowerRoman"/>
      <w:lvlText w:val="%3."/>
      <w:lvlJc w:val="right"/>
      <w:pPr>
        <w:ind w:left="4276" w:hanging="180"/>
      </w:pPr>
    </w:lvl>
    <w:lvl w:ilvl="3" w:tplc="0416000F" w:tentative="1">
      <w:start w:val="1"/>
      <w:numFmt w:val="decimal"/>
      <w:lvlText w:val="%4."/>
      <w:lvlJc w:val="left"/>
      <w:pPr>
        <w:ind w:left="4996" w:hanging="360"/>
      </w:pPr>
    </w:lvl>
    <w:lvl w:ilvl="4" w:tplc="04160019" w:tentative="1">
      <w:start w:val="1"/>
      <w:numFmt w:val="lowerLetter"/>
      <w:lvlText w:val="%5."/>
      <w:lvlJc w:val="left"/>
      <w:pPr>
        <w:ind w:left="5716" w:hanging="360"/>
      </w:pPr>
    </w:lvl>
    <w:lvl w:ilvl="5" w:tplc="0416001B" w:tentative="1">
      <w:start w:val="1"/>
      <w:numFmt w:val="lowerRoman"/>
      <w:lvlText w:val="%6."/>
      <w:lvlJc w:val="right"/>
      <w:pPr>
        <w:ind w:left="6436" w:hanging="180"/>
      </w:pPr>
    </w:lvl>
    <w:lvl w:ilvl="6" w:tplc="0416000F" w:tentative="1">
      <w:start w:val="1"/>
      <w:numFmt w:val="decimal"/>
      <w:lvlText w:val="%7."/>
      <w:lvlJc w:val="left"/>
      <w:pPr>
        <w:ind w:left="7156" w:hanging="360"/>
      </w:pPr>
    </w:lvl>
    <w:lvl w:ilvl="7" w:tplc="04160019" w:tentative="1">
      <w:start w:val="1"/>
      <w:numFmt w:val="lowerLetter"/>
      <w:lvlText w:val="%8."/>
      <w:lvlJc w:val="left"/>
      <w:pPr>
        <w:ind w:left="7876" w:hanging="360"/>
      </w:pPr>
    </w:lvl>
    <w:lvl w:ilvl="8" w:tplc="0416001B" w:tentative="1">
      <w:start w:val="1"/>
      <w:numFmt w:val="lowerRoman"/>
      <w:lvlText w:val="%9."/>
      <w:lvlJc w:val="right"/>
      <w:pPr>
        <w:ind w:left="8596" w:hanging="180"/>
      </w:pPr>
    </w:lvl>
  </w:abstractNum>
  <w:abstractNum w:abstractNumId="2" w15:restartNumberingAfterBreak="0">
    <w:nsid w:val="19EE6B11"/>
    <w:multiLevelType w:val="hybridMultilevel"/>
    <w:tmpl w:val="4F0CF38E"/>
    <w:lvl w:ilvl="0" w:tplc="25D6D30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DF733E"/>
    <w:multiLevelType w:val="multilevel"/>
    <w:tmpl w:val="D01432D0"/>
    <w:lvl w:ilvl="0">
      <w:start w:val="1"/>
      <w:numFmt w:val="decimal"/>
      <w:lvlText w:val="%1."/>
      <w:lvlJc w:val="left"/>
      <w:pPr>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4" w15:restartNumberingAfterBreak="0">
    <w:nsid w:val="1CBC223B"/>
    <w:multiLevelType w:val="hybridMultilevel"/>
    <w:tmpl w:val="AB6CDDB6"/>
    <w:lvl w:ilvl="0" w:tplc="09A2F6AE">
      <w:start w:val="1"/>
      <w:numFmt w:val="decimal"/>
      <w:lvlText w:val="%1."/>
      <w:lvlJc w:val="left"/>
      <w:pPr>
        <w:ind w:left="1920" w:hanging="360"/>
      </w:pPr>
      <w:rPr>
        <w:rFonts w:ascii="Bookman Old Style" w:hAnsi="Bookman Old Style" w:hint="default"/>
        <w:b/>
        <w:i w:val="0"/>
        <w:color w:val="auto"/>
        <w:sz w:val="24"/>
        <w:szCs w:val="24"/>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15:restartNumberingAfterBreak="0">
    <w:nsid w:val="24313772"/>
    <w:multiLevelType w:val="hybridMultilevel"/>
    <w:tmpl w:val="5AA4C7EC"/>
    <w:lvl w:ilvl="0" w:tplc="A9664B9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4E165749"/>
    <w:multiLevelType w:val="hybridMultilevel"/>
    <w:tmpl w:val="B1D4A5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FC26F5B"/>
    <w:multiLevelType w:val="hybridMultilevel"/>
    <w:tmpl w:val="757A6E22"/>
    <w:lvl w:ilvl="0" w:tplc="48020586">
      <w:start w:val="1"/>
      <w:numFmt w:val="decimal"/>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6AE35C0F"/>
    <w:multiLevelType w:val="hybridMultilevel"/>
    <w:tmpl w:val="18F0F2B2"/>
    <w:lvl w:ilvl="0" w:tplc="89200AEA">
      <w:start w:val="7"/>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9" w15:restartNumberingAfterBreak="0">
    <w:nsid w:val="6B796221"/>
    <w:multiLevelType w:val="hybridMultilevel"/>
    <w:tmpl w:val="180874A2"/>
    <w:lvl w:ilvl="0" w:tplc="18C24002">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5B73396"/>
    <w:multiLevelType w:val="multilevel"/>
    <w:tmpl w:val="7B52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2A7716"/>
    <w:multiLevelType w:val="hybridMultilevel"/>
    <w:tmpl w:val="556A2FA4"/>
    <w:lvl w:ilvl="0" w:tplc="16AE78A2">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E73493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2"/>
  </w:num>
  <w:num w:numId="5">
    <w:abstractNumId w:val="11"/>
  </w:num>
  <w:num w:numId="6">
    <w:abstractNumId w:val="8"/>
  </w:num>
  <w:num w:numId="7">
    <w:abstractNumId w:val="7"/>
  </w:num>
  <w:num w:numId="8">
    <w:abstractNumId w:val="5"/>
  </w:num>
  <w:num w:numId="9">
    <w:abstractNumId w:val="1"/>
  </w:num>
  <w:num w:numId="10">
    <w:abstractNumId w:val="12"/>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89"/>
    <w:rsid w:val="00013A1C"/>
    <w:rsid w:val="0002388D"/>
    <w:rsid w:val="00025CA6"/>
    <w:rsid w:val="00032794"/>
    <w:rsid w:val="000345F2"/>
    <w:rsid w:val="00054DA4"/>
    <w:rsid w:val="00057E68"/>
    <w:rsid w:val="000644E3"/>
    <w:rsid w:val="000667FC"/>
    <w:rsid w:val="00072E5D"/>
    <w:rsid w:val="00093C40"/>
    <w:rsid w:val="000A7436"/>
    <w:rsid w:val="000B1231"/>
    <w:rsid w:val="000B4BA9"/>
    <w:rsid w:val="000B56C8"/>
    <w:rsid w:val="000D1F25"/>
    <w:rsid w:val="000D3EC4"/>
    <w:rsid w:val="00107A02"/>
    <w:rsid w:val="00143DDF"/>
    <w:rsid w:val="0014613C"/>
    <w:rsid w:val="00155D46"/>
    <w:rsid w:val="00162894"/>
    <w:rsid w:val="001731F8"/>
    <w:rsid w:val="00177B64"/>
    <w:rsid w:val="001A3EDC"/>
    <w:rsid w:val="001A7C42"/>
    <w:rsid w:val="001C17D6"/>
    <w:rsid w:val="001D1B44"/>
    <w:rsid w:val="001D1E40"/>
    <w:rsid w:val="001E6658"/>
    <w:rsid w:val="001F1035"/>
    <w:rsid w:val="001F229D"/>
    <w:rsid w:val="001F37C7"/>
    <w:rsid w:val="001F644D"/>
    <w:rsid w:val="002017B9"/>
    <w:rsid w:val="002047F5"/>
    <w:rsid w:val="0020565A"/>
    <w:rsid w:val="00217C6A"/>
    <w:rsid w:val="00247F9B"/>
    <w:rsid w:val="00255DFB"/>
    <w:rsid w:val="00277986"/>
    <w:rsid w:val="00292DA5"/>
    <w:rsid w:val="002A7FAD"/>
    <w:rsid w:val="002B7BD3"/>
    <w:rsid w:val="002D3378"/>
    <w:rsid w:val="002D4804"/>
    <w:rsid w:val="002D5CDA"/>
    <w:rsid w:val="002E1B5C"/>
    <w:rsid w:val="002F4512"/>
    <w:rsid w:val="0030016B"/>
    <w:rsid w:val="0030216B"/>
    <w:rsid w:val="00320D95"/>
    <w:rsid w:val="00321B9C"/>
    <w:rsid w:val="00330504"/>
    <w:rsid w:val="00330B8B"/>
    <w:rsid w:val="00337CDE"/>
    <w:rsid w:val="00347653"/>
    <w:rsid w:val="00360446"/>
    <w:rsid w:val="003637A8"/>
    <w:rsid w:val="003826F9"/>
    <w:rsid w:val="00382B9D"/>
    <w:rsid w:val="0038580C"/>
    <w:rsid w:val="003945A5"/>
    <w:rsid w:val="00397428"/>
    <w:rsid w:val="003F17A9"/>
    <w:rsid w:val="00404F3E"/>
    <w:rsid w:val="00411067"/>
    <w:rsid w:val="00416AA9"/>
    <w:rsid w:val="004504DB"/>
    <w:rsid w:val="0047040A"/>
    <w:rsid w:val="00471E90"/>
    <w:rsid w:val="004728A1"/>
    <w:rsid w:val="004C56E3"/>
    <w:rsid w:val="004D2B4D"/>
    <w:rsid w:val="004D49E8"/>
    <w:rsid w:val="00501B77"/>
    <w:rsid w:val="005111B0"/>
    <w:rsid w:val="005132BE"/>
    <w:rsid w:val="005144BE"/>
    <w:rsid w:val="00525C8E"/>
    <w:rsid w:val="005339D7"/>
    <w:rsid w:val="005631F3"/>
    <w:rsid w:val="00564913"/>
    <w:rsid w:val="00572303"/>
    <w:rsid w:val="00573D99"/>
    <w:rsid w:val="0058288A"/>
    <w:rsid w:val="00593638"/>
    <w:rsid w:val="00597024"/>
    <w:rsid w:val="005A3F07"/>
    <w:rsid w:val="005A621B"/>
    <w:rsid w:val="005B68D8"/>
    <w:rsid w:val="005C32C1"/>
    <w:rsid w:val="005E0FDE"/>
    <w:rsid w:val="005E2D42"/>
    <w:rsid w:val="005F1683"/>
    <w:rsid w:val="005F341F"/>
    <w:rsid w:val="005F70CD"/>
    <w:rsid w:val="00604001"/>
    <w:rsid w:val="00613C82"/>
    <w:rsid w:val="006201D3"/>
    <w:rsid w:val="0062725C"/>
    <w:rsid w:val="00634CB0"/>
    <w:rsid w:val="00636118"/>
    <w:rsid w:val="00647AD3"/>
    <w:rsid w:val="00653536"/>
    <w:rsid w:val="00667BC5"/>
    <w:rsid w:val="00674170"/>
    <w:rsid w:val="0067739D"/>
    <w:rsid w:val="00691A49"/>
    <w:rsid w:val="0069722E"/>
    <w:rsid w:val="006A6E48"/>
    <w:rsid w:val="006B6F55"/>
    <w:rsid w:val="006C4571"/>
    <w:rsid w:val="006C50C1"/>
    <w:rsid w:val="006D56D5"/>
    <w:rsid w:val="006E2227"/>
    <w:rsid w:val="006F45AD"/>
    <w:rsid w:val="007016C2"/>
    <w:rsid w:val="00706311"/>
    <w:rsid w:val="007262F7"/>
    <w:rsid w:val="00733AF1"/>
    <w:rsid w:val="00742892"/>
    <w:rsid w:val="007507C6"/>
    <w:rsid w:val="007650AB"/>
    <w:rsid w:val="00770B82"/>
    <w:rsid w:val="007712CC"/>
    <w:rsid w:val="0077769E"/>
    <w:rsid w:val="00777F57"/>
    <w:rsid w:val="00781EE1"/>
    <w:rsid w:val="007A1E89"/>
    <w:rsid w:val="007B5509"/>
    <w:rsid w:val="007C008B"/>
    <w:rsid w:val="007C0FCD"/>
    <w:rsid w:val="007C1FB0"/>
    <w:rsid w:val="007D0CE7"/>
    <w:rsid w:val="007D49A5"/>
    <w:rsid w:val="00836B43"/>
    <w:rsid w:val="008430FD"/>
    <w:rsid w:val="00843C64"/>
    <w:rsid w:val="00844645"/>
    <w:rsid w:val="00846F5C"/>
    <w:rsid w:val="00860625"/>
    <w:rsid w:val="00860EFC"/>
    <w:rsid w:val="00863B33"/>
    <w:rsid w:val="00886EA2"/>
    <w:rsid w:val="008940F5"/>
    <w:rsid w:val="008A4B4F"/>
    <w:rsid w:val="008B031C"/>
    <w:rsid w:val="008B7482"/>
    <w:rsid w:val="008C0F4A"/>
    <w:rsid w:val="008C4824"/>
    <w:rsid w:val="008D16AF"/>
    <w:rsid w:val="008D23AB"/>
    <w:rsid w:val="008D407B"/>
    <w:rsid w:val="008D5ACA"/>
    <w:rsid w:val="008E58C8"/>
    <w:rsid w:val="00911886"/>
    <w:rsid w:val="00916825"/>
    <w:rsid w:val="009247B3"/>
    <w:rsid w:val="0093104B"/>
    <w:rsid w:val="00931C5E"/>
    <w:rsid w:val="00932039"/>
    <w:rsid w:val="009459BF"/>
    <w:rsid w:val="009557C2"/>
    <w:rsid w:val="009620E7"/>
    <w:rsid w:val="0096266D"/>
    <w:rsid w:val="009717D8"/>
    <w:rsid w:val="0097476E"/>
    <w:rsid w:val="0099408A"/>
    <w:rsid w:val="009C520F"/>
    <w:rsid w:val="009C64AF"/>
    <w:rsid w:val="009E78E6"/>
    <w:rsid w:val="00A115B1"/>
    <w:rsid w:val="00A167DF"/>
    <w:rsid w:val="00A24FD7"/>
    <w:rsid w:val="00A40899"/>
    <w:rsid w:val="00A501D5"/>
    <w:rsid w:val="00A504E3"/>
    <w:rsid w:val="00A52697"/>
    <w:rsid w:val="00A60B3B"/>
    <w:rsid w:val="00A6552A"/>
    <w:rsid w:val="00A65F92"/>
    <w:rsid w:val="00A759B1"/>
    <w:rsid w:val="00A76302"/>
    <w:rsid w:val="00A95FF0"/>
    <w:rsid w:val="00AB213C"/>
    <w:rsid w:val="00AC3464"/>
    <w:rsid w:val="00AC5BDB"/>
    <w:rsid w:val="00AD1077"/>
    <w:rsid w:val="00AD66CE"/>
    <w:rsid w:val="00AD6762"/>
    <w:rsid w:val="00AF2C13"/>
    <w:rsid w:val="00AF2E7E"/>
    <w:rsid w:val="00AF446C"/>
    <w:rsid w:val="00AF6979"/>
    <w:rsid w:val="00B23B52"/>
    <w:rsid w:val="00B465BC"/>
    <w:rsid w:val="00B77434"/>
    <w:rsid w:val="00B80B7F"/>
    <w:rsid w:val="00B80BE1"/>
    <w:rsid w:val="00B86A64"/>
    <w:rsid w:val="00B87DC0"/>
    <w:rsid w:val="00B90C1B"/>
    <w:rsid w:val="00BA0912"/>
    <w:rsid w:val="00BA3035"/>
    <w:rsid w:val="00BC11D8"/>
    <w:rsid w:val="00BD1DA9"/>
    <w:rsid w:val="00BD5C02"/>
    <w:rsid w:val="00BF20B2"/>
    <w:rsid w:val="00C03DE8"/>
    <w:rsid w:val="00C14E22"/>
    <w:rsid w:val="00C201DC"/>
    <w:rsid w:val="00C30B75"/>
    <w:rsid w:val="00C32923"/>
    <w:rsid w:val="00C47CC9"/>
    <w:rsid w:val="00C54AE8"/>
    <w:rsid w:val="00C6387B"/>
    <w:rsid w:val="00C712FD"/>
    <w:rsid w:val="00C73DA3"/>
    <w:rsid w:val="00C82F78"/>
    <w:rsid w:val="00C83727"/>
    <w:rsid w:val="00C94E72"/>
    <w:rsid w:val="00CB1C6E"/>
    <w:rsid w:val="00CC2359"/>
    <w:rsid w:val="00CC7825"/>
    <w:rsid w:val="00CD66CD"/>
    <w:rsid w:val="00CF11F6"/>
    <w:rsid w:val="00CF2E34"/>
    <w:rsid w:val="00D0163E"/>
    <w:rsid w:val="00D226A2"/>
    <w:rsid w:val="00D23619"/>
    <w:rsid w:val="00D277B9"/>
    <w:rsid w:val="00D33D7E"/>
    <w:rsid w:val="00D54A0B"/>
    <w:rsid w:val="00D8126C"/>
    <w:rsid w:val="00D917A4"/>
    <w:rsid w:val="00D91EBB"/>
    <w:rsid w:val="00D964D2"/>
    <w:rsid w:val="00DC1681"/>
    <w:rsid w:val="00DC4F57"/>
    <w:rsid w:val="00DF0FE1"/>
    <w:rsid w:val="00E054B1"/>
    <w:rsid w:val="00E103CB"/>
    <w:rsid w:val="00E1098C"/>
    <w:rsid w:val="00E11C8B"/>
    <w:rsid w:val="00E2079A"/>
    <w:rsid w:val="00E27EEB"/>
    <w:rsid w:val="00E30344"/>
    <w:rsid w:val="00E30F8A"/>
    <w:rsid w:val="00E37704"/>
    <w:rsid w:val="00E4107E"/>
    <w:rsid w:val="00E564DB"/>
    <w:rsid w:val="00E63481"/>
    <w:rsid w:val="00E70CEF"/>
    <w:rsid w:val="00E77FE0"/>
    <w:rsid w:val="00E85FB6"/>
    <w:rsid w:val="00EB14F3"/>
    <w:rsid w:val="00EB7C5D"/>
    <w:rsid w:val="00EE547A"/>
    <w:rsid w:val="00EE709A"/>
    <w:rsid w:val="00EF1DD9"/>
    <w:rsid w:val="00EF241B"/>
    <w:rsid w:val="00EF2644"/>
    <w:rsid w:val="00F03CDD"/>
    <w:rsid w:val="00F06007"/>
    <w:rsid w:val="00F12E51"/>
    <w:rsid w:val="00F36422"/>
    <w:rsid w:val="00F60017"/>
    <w:rsid w:val="00F61CDA"/>
    <w:rsid w:val="00F72036"/>
    <w:rsid w:val="00FC4C43"/>
    <w:rsid w:val="00FD01FD"/>
    <w:rsid w:val="00FD15A8"/>
    <w:rsid w:val="00FD1971"/>
    <w:rsid w:val="00FF0F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3FC15"/>
  <w15:docId w15:val="{7728DE81-2D91-4A6D-BD4A-E4FB616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89"/>
    <w:rPr>
      <w:rFonts w:ascii="Calibri" w:eastAsia="Calibri" w:hAnsi="Calibri" w:cs="Times New Roman"/>
    </w:rPr>
  </w:style>
  <w:style w:type="paragraph" w:styleId="Ttulo1">
    <w:name w:val="heading 1"/>
    <w:basedOn w:val="Normal"/>
    <w:next w:val="Normal"/>
    <w:link w:val="Ttulo1Char"/>
    <w:qFormat/>
    <w:rsid w:val="002047F5"/>
    <w:pPr>
      <w:keepNext/>
      <w:spacing w:after="0" w:line="240" w:lineRule="auto"/>
      <w:outlineLvl w:val="0"/>
    </w:pPr>
    <w:rPr>
      <w:rFonts w:ascii="Times New Roman" w:eastAsia="Times New Roman" w:hAnsi="Times New Roman"/>
      <w:b/>
      <w:bCs/>
      <w:sz w:val="32"/>
      <w:szCs w:val="24"/>
      <w:lang w:eastAsia="pt-BR"/>
    </w:rPr>
  </w:style>
  <w:style w:type="paragraph" w:styleId="Ttulo3">
    <w:name w:val="heading 3"/>
    <w:basedOn w:val="Normal"/>
    <w:next w:val="Normal"/>
    <w:link w:val="Ttulo3Char"/>
    <w:uiPriority w:val="9"/>
    <w:semiHidden/>
    <w:unhideWhenUsed/>
    <w:qFormat/>
    <w:rsid w:val="007D49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7A1E89"/>
    <w:pPr>
      <w:spacing w:after="120" w:line="240" w:lineRule="auto"/>
      <w:ind w:left="283"/>
    </w:pPr>
    <w:rPr>
      <w:rFonts w:ascii="Times New Roman" w:eastAsia="Times New Roman" w:hAnsi="Times New Roman"/>
      <w:sz w:val="20"/>
      <w:szCs w:val="20"/>
    </w:rPr>
  </w:style>
  <w:style w:type="character" w:customStyle="1" w:styleId="RecuodecorpodetextoChar">
    <w:name w:val="Recuo de corpo de texto Char"/>
    <w:basedOn w:val="Fontepargpadro"/>
    <w:link w:val="Recuodecorpodetexto"/>
    <w:rsid w:val="007A1E89"/>
    <w:rPr>
      <w:rFonts w:ascii="Times New Roman" w:eastAsia="Times New Roman" w:hAnsi="Times New Roman" w:cs="Times New Roman"/>
      <w:sz w:val="20"/>
      <w:szCs w:val="20"/>
    </w:rPr>
  </w:style>
  <w:style w:type="paragraph" w:styleId="Legenda">
    <w:name w:val="caption"/>
    <w:basedOn w:val="Normal"/>
    <w:next w:val="Normal"/>
    <w:qFormat/>
    <w:rsid w:val="007A1E89"/>
    <w:pPr>
      <w:spacing w:after="0" w:line="360" w:lineRule="auto"/>
      <w:jc w:val="center"/>
    </w:pPr>
    <w:rPr>
      <w:rFonts w:ascii="Georgia" w:eastAsia="Times New Roman" w:hAnsi="Georgia"/>
      <w:sz w:val="36"/>
      <w:szCs w:val="20"/>
      <w:lang w:eastAsia="pt-BR"/>
    </w:rPr>
  </w:style>
  <w:style w:type="paragraph" w:styleId="Cabealho">
    <w:name w:val="header"/>
    <w:basedOn w:val="Normal"/>
    <w:link w:val="CabealhoChar"/>
    <w:uiPriority w:val="99"/>
    <w:unhideWhenUsed/>
    <w:rsid w:val="007A1E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1E89"/>
    <w:rPr>
      <w:rFonts w:ascii="Calibri" w:eastAsia="Calibri" w:hAnsi="Calibri" w:cs="Times New Roman"/>
    </w:rPr>
  </w:style>
  <w:style w:type="paragraph" w:styleId="Rodap">
    <w:name w:val="footer"/>
    <w:basedOn w:val="Normal"/>
    <w:link w:val="RodapChar"/>
    <w:uiPriority w:val="99"/>
    <w:unhideWhenUsed/>
    <w:rsid w:val="007A1E89"/>
    <w:pPr>
      <w:tabs>
        <w:tab w:val="center" w:pos="4252"/>
        <w:tab w:val="right" w:pos="8504"/>
      </w:tabs>
      <w:spacing w:after="0" w:line="240" w:lineRule="auto"/>
    </w:pPr>
  </w:style>
  <w:style w:type="character" w:customStyle="1" w:styleId="RodapChar">
    <w:name w:val="Rodapé Char"/>
    <w:basedOn w:val="Fontepargpadro"/>
    <w:link w:val="Rodap"/>
    <w:uiPriority w:val="99"/>
    <w:rsid w:val="007A1E89"/>
    <w:rPr>
      <w:rFonts w:ascii="Calibri" w:eastAsia="Calibri" w:hAnsi="Calibri" w:cs="Times New Roman"/>
    </w:rPr>
  </w:style>
  <w:style w:type="character" w:styleId="Refdecomentrio">
    <w:name w:val="annotation reference"/>
    <w:uiPriority w:val="99"/>
    <w:semiHidden/>
    <w:unhideWhenUsed/>
    <w:rsid w:val="007A1E89"/>
    <w:rPr>
      <w:sz w:val="16"/>
      <w:szCs w:val="16"/>
    </w:rPr>
  </w:style>
  <w:style w:type="paragraph" w:styleId="Textodecomentrio">
    <w:name w:val="annotation text"/>
    <w:basedOn w:val="Normal"/>
    <w:link w:val="TextodecomentrioChar"/>
    <w:uiPriority w:val="99"/>
    <w:semiHidden/>
    <w:unhideWhenUsed/>
    <w:rsid w:val="007A1E89"/>
    <w:rPr>
      <w:sz w:val="20"/>
      <w:szCs w:val="20"/>
    </w:rPr>
  </w:style>
  <w:style w:type="character" w:customStyle="1" w:styleId="TextodecomentrioChar">
    <w:name w:val="Texto de comentário Char"/>
    <w:basedOn w:val="Fontepargpadro"/>
    <w:link w:val="Textodecomentrio"/>
    <w:uiPriority w:val="99"/>
    <w:semiHidden/>
    <w:rsid w:val="007A1E89"/>
    <w:rPr>
      <w:rFonts w:ascii="Calibri" w:eastAsia="Calibri" w:hAnsi="Calibri" w:cs="Times New Roman"/>
      <w:sz w:val="20"/>
      <w:szCs w:val="20"/>
    </w:rPr>
  </w:style>
  <w:style w:type="paragraph" w:styleId="Reviso">
    <w:name w:val="Revision"/>
    <w:hidden/>
    <w:uiPriority w:val="99"/>
    <w:semiHidden/>
    <w:rsid w:val="007A1E89"/>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A1E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1E89"/>
    <w:rPr>
      <w:rFonts w:ascii="Tahoma" w:eastAsia="Calibri" w:hAnsi="Tahoma" w:cs="Tahoma"/>
      <w:sz w:val="16"/>
      <w:szCs w:val="16"/>
    </w:rPr>
  </w:style>
  <w:style w:type="paragraph" w:styleId="NormalWeb">
    <w:name w:val="Normal (Web)"/>
    <w:basedOn w:val="Normal"/>
    <w:unhideWhenUsed/>
    <w:rsid w:val="000B1231"/>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rsid w:val="000B1231"/>
    <w:rPr>
      <w:color w:val="0000FF"/>
      <w:u w:val="single"/>
    </w:rPr>
  </w:style>
  <w:style w:type="paragraph" w:styleId="PargrafodaLista">
    <w:name w:val="List Paragraph"/>
    <w:basedOn w:val="Normal"/>
    <w:link w:val="PargrafodaListaChar"/>
    <w:uiPriority w:val="34"/>
    <w:qFormat/>
    <w:rsid w:val="000B1231"/>
    <w:pPr>
      <w:ind w:left="720"/>
      <w:contextualSpacing/>
    </w:pPr>
    <w:rPr>
      <w:rFonts w:asciiTheme="minorHAnsi" w:eastAsiaTheme="minorHAnsi" w:hAnsiTheme="minorHAnsi" w:cstheme="minorBidi"/>
    </w:rPr>
  </w:style>
  <w:style w:type="paragraph" w:styleId="Textodenotaderodap">
    <w:name w:val="footnote text"/>
    <w:basedOn w:val="Normal"/>
    <w:link w:val="TextodenotaderodapChar"/>
    <w:uiPriority w:val="99"/>
    <w:semiHidden/>
    <w:unhideWhenUsed/>
    <w:rsid w:val="000B1231"/>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semiHidden/>
    <w:rsid w:val="000B123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0B1231"/>
    <w:rPr>
      <w:vertAlign w:val="superscript"/>
    </w:rPr>
  </w:style>
  <w:style w:type="character" w:customStyle="1" w:styleId="PargrafodaListaChar">
    <w:name w:val="Parágrafo da Lista Char"/>
    <w:basedOn w:val="Fontepargpadro"/>
    <w:link w:val="PargrafodaLista"/>
    <w:uiPriority w:val="34"/>
    <w:rsid w:val="000B1231"/>
  </w:style>
  <w:style w:type="character" w:styleId="nfase">
    <w:name w:val="Emphasis"/>
    <w:uiPriority w:val="20"/>
    <w:qFormat/>
    <w:rsid w:val="000B1231"/>
    <w:rPr>
      <w:i/>
      <w:iCs/>
    </w:rPr>
  </w:style>
  <w:style w:type="character" w:styleId="Forte">
    <w:name w:val="Strong"/>
    <w:uiPriority w:val="22"/>
    <w:qFormat/>
    <w:rsid w:val="000B1231"/>
    <w:rPr>
      <w:b/>
      <w:bCs/>
    </w:rPr>
  </w:style>
  <w:style w:type="character" w:customStyle="1" w:styleId="url1">
    <w:name w:val="url1"/>
    <w:rsid w:val="000B1231"/>
    <w:rPr>
      <w:strike w:val="0"/>
      <w:dstrike w:val="0"/>
      <w:color w:val="0746A8"/>
      <w:u w:val="none"/>
      <w:effect w:val="none"/>
    </w:rPr>
  </w:style>
  <w:style w:type="character" w:customStyle="1" w:styleId="Ttulo1Char">
    <w:name w:val="Título 1 Char"/>
    <w:basedOn w:val="Fontepargpadro"/>
    <w:link w:val="Ttulo1"/>
    <w:rsid w:val="002047F5"/>
    <w:rPr>
      <w:rFonts w:ascii="Times New Roman" w:eastAsia="Times New Roman" w:hAnsi="Times New Roman" w:cs="Times New Roman"/>
      <w:b/>
      <w:bCs/>
      <w:sz w:val="32"/>
      <w:szCs w:val="24"/>
      <w:lang w:eastAsia="pt-BR"/>
    </w:rPr>
  </w:style>
  <w:style w:type="table" w:styleId="Tabelacomgrade">
    <w:name w:val="Table Grid"/>
    <w:basedOn w:val="Tabelanormal"/>
    <w:uiPriority w:val="59"/>
    <w:rsid w:val="0057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5E2D42"/>
    <w:pPr>
      <w:spacing w:after="120"/>
    </w:pPr>
  </w:style>
  <w:style w:type="character" w:customStyle="1" w:styleId="CorpodetextoChar">
    <w:name w:val="Corpo de texto Char"/>
    <w:basedOn w:val="Fontepargpadro"/>
    <w:link w:val="Corpodetexto"/>
    <w:uiPriority w:val="99"/>
    <w:semiHidden/>
    <w:rsid w:val="005E2D42"/>
    <w:rPr>
      <w:rFonts w:ascii="Calibri" w:eastAsia="Calibri" w:hAnsi="Calibri" w:cs="Times New Roman"/>
    </w:rPr>
  </w:style>
  <w:style w:type="character" w:customStyle="1" w:styleId="Ttulo3Char">
    <w:name w:val="Título 3 Char"/>
    <w:basedOn w:val="Fontepargpadro"/>
    <w:link w:val="Ttulo3"/>
    <w:uiPriority w:val="9"/>
    <w:semiHidden/>
    <w:rsid w:val="007D49A5"/>
    <w:rPr>
      <w:rFonts w:asciiTheme="majorHAnsi" w:eastAsiaTheme="majorEastAsia" w:hAnsiTheme="majorHAnsi" w:cstheme="majorBidi"/>
      <w:color w:val="243F60" w:themeColor="accent1" w:themeShade="7F"/>
      <w:sz w:val="24"/>
      <w:szCs w:val="24"/>
    </w:rPr>
  </w:style>
  <w:style w:type="character" w:styleId="MenoPendente">
    <w:name w:val="Unresolved Mention"/>
    <w:basedOn w:val="Fontepargpadro"/>
    <w:uiPriority w:val="99"/>
    <w:semiHidden/>
    <w:unhideWhenUsed/>
    <w:rsid w:val="00025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8787">
      <w:bodyDiv w:val="1"/>
      <w:marLeft w:val="0"/>
      <w:marRight w:val="0"/>
      <w:marTop w:val="0"/>
      <w:marBottom w:val="0"/>
      <w:divBdr>
        <w:top w:val="none" w:sz="0" w:space="0" w:color="auto"/>
        <w:left w:val="none" w:sz="0" w:space="0" w:color="auto"/>
        <w:bottom w:val="none" w:sz="0" w:space="0" w:color="auto"/>
        <w:right w:val="none" w:sz="0" w:space="0" w:color="auto"/>
      </w:divBdr>
    </w:div>
    <w:div w:id="321549059">
      <w:bodyDiv w:val="1"/>
      <w:marLeft w:val="0"/>
      <w:marRight w:val="0"/>
      <w:marTop w:val="0"/>
      <w:marBottom w:val="0"/>
      <w:divBdr>
        <w:top w:val="none" w:sz="0" w:space="0" w:color="auto"/>
        <w:left w:val="none" w:sz="0" w:space="0" w:color="auto"/>
        <w:bottom w:val="none" w:sz="0" w:space="0" w:color="auto"/>
        <w:right w:val="none" w:sz="0" w:space="0" w:color="auto"/>
      </w:divBdr>
      <w:divsChild>
        <w:div w:id="1145203206">
          <w:marLeft w:val="0"/>
          <w:marRight w:val="0"/>
          <w:marTop w:val="0"/>
          <w:marBottom w:val="0"/>
          <w:divBdr>
            <w:top w:val="none" w:sz="0" w:space="0" w:color="auto"/>
            <w:left w:val="none" w:sz="0" w:space="0" w:color="auto"/>
            <w:bottom w:val="none" w:sz="0" w:space="0" w:color="auto"/>
            <w:right w:val="none" w:sz="0" w:space="0" w:color="auto"/>
          </w:divBdr>
        </w:div>
      </w:divsChild>
    </w:div>
    <w:div w:id="437220397">
      <w:bodyDiv w:val="1"/>
      <w:marLeft w:val="0"/>
      <w:marRight w:val="0"/>
      <w:marTop w:val="0"/>
      <w:marBottom w:val="0"/>
      <w:divBdr>
        <w:top w:val="none" w:sz="0" w:space="0" w:color="auto"/>
        <w:left w:val="none" w:sz="0" w:space="0" w:color="auto"/>
        <w:bottom w:val="none" w:sz="0" w:space="0" w:color="auto"/>
        <w:right w:val="none" w:sz="0" w:space="0" w:color="auto"/>
      </w:divBdr>
    </w:div>
    <w:div w:id="543058187">
      <w:bodyDiv w:val="1"/>
      <w:marLeft w:val="0"/>
      <w:marRight w:val="0"/>
      <w:marTop w:val="0"/>
      <w:marBottom w:val="0"/>
      <w:divBdr>
        <w:top w:val="none" w:sz="0" w:space="0" w:color="auto"/>
        <w:left w:val="none" w:sz="0" w:space="0" w:color="auto"/>
        <w:bottom w:val="none" w:sz="0" w:space="0" w:color="auto"/>
        <w:right w:val="none" w:sz="0" w:space="0" w:color="auto"/>
      </w:divBdr>
    </w:div>
    <w:div w:id="1041514963">
      <w:bodyDiv w:val="1"/>
      <w:marLeft w:val="0"/>
      <w:marRight w:val="0"/>
      <w:marTop w:val="0"/>
      <w:marBottom w:val="0"/>
      <w:divBdr>
        <w:top w:val="none" w:sz="0" w:space="0" w:color="auto"/>
        <w:left w:val="none" w:sz="0" w:space="0" w:color="auto"/>
        <w:bottom w:val="none" w:sz="0" w:space="0" w:color="auto"/>
        <w:right w:val="none" w:sz="0" w:space="0" w:color="auto"/>
      </w:divBdr>
    </w:div>
    <w:div w:id="1533225357">
      <w:bodyDiv w:val="1"/>
      <w:marLeft w:val="0"/>
      <w:marRight w:val="0"/>
      <w:marTop w:val="0"/>
      <w:marBottom w:val="0"/>
      <w:divBdr>
        <w:top w:val="none" w:sz="0" w:space="0" w:color="auto"/>
        <w:left w:val="none" w:sz="0" w:space="0" w:color="auto"/>
        <w:bottom w:val="none" w:sz="0" w:space="0" w:color="auto"/>
        <w:right w:val="none" w:sz="0" w:space="0" w:color="auto"/>
      </w:divBdr>
    </w:div>
    <w:div w:id="1656031045">
      <w:bodyDiv w:val="1"/>
      <w:marLeft w:val="0"/>
      <w:marRight w:val="0"/>
      <w:marTop w:val="0"/>
      <w:marBottom w:val="0"/>
      <w:divBdr>
        <w:top w:val="none" w:sz="0" w:space="0" w:color="auto"/>
        <w:left w:val="none" w:sz="0" w:space="0" w:color="auto"/>
        <w:bottom w:val="none" w:sz="0" w:space="0" w:color="auto"/>
        <w:right w:val="none" w:sz="0" w:space="0" w:color="auto"/>
      </w:divBdr>
    </w:div>
    <w:div w:id="1864787142">
      <w:bodyDiv w:val="1"/>
      <w:marLeft w:val="0"/>
      <w:marRight w:val="0"/>
      <w:marTop w:val="0"/>
      <w:marBottom w:val="0"/>
      <w:divBdr>
        <w:top w:val="none" w:sz="0" w:space="0" w:color="auto"/>
        <w:left w:val="none" w:sz="0" w:space="0" w:color="auto"/>
        <w:bottom w:val="none" w:sz="0" w:space="0" w:color="auto"/>
        <w:right w:val="none" w:sz="0" w:space="0" w:color="auto"/>
      </w:divBdr>
    </w:div>
    <w:div w:id="1930382560">
      <w:bodyDiv w:val="1"/>
      <w:marLeft w:val="0"/>
      <w:marRight w:val="0"/>
      <w:marTop w:val="0"/>
      <w:marBottom w:val="0"/>
      <w:divBdr>
        <w:top w:val="none" w:sz="0" w:space="0" w:color="auto"/>
        <w:left w:val="none" w:sz="0" w:space="0" w:color="auto"/>
        <w:bottom w:val="none" w:sz="0" w:space="0" w:color="auto"/>
        <w:right w:val="none" w:sz="0" w:space="0" w:color="auto"/>
      </w:divBdr>
    </w:div>
    <w:div w:id="21397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squisa.apps.tcu.gov.br/" TargetMode="External"/><Relationship Id="rId13" Type="http://schemas.openxmlformats.org/officeDocument/2006/relationships/hyperlink" Target="https://pesquisa.apps.tcu.gov.br/" TargetMode="External"/><Relationship Id="rId18" Type="http://schemas.openxmlformats.org/officeDocument/2006/relationships/hyperlink" Target="https://pesquisa.apps.tcu.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esquisa.apps.tcu.gov.br/" TargetMode="External"/><Relationship Id="rId7" Type="http://schemas.openxmlformats.org/officeDocument/2006/relationships/endnotes" Target="endnotes.xml"/><Relationship Id="rId12" Type="http://schemas.openxmlformats.org/officeDocument/2006/relationships/hyperlink" Target="https://pesquisa.apps.tcu.gov.br/" TargetMode="External"/><Relationship Id="rId17" Type="http://schemas.openxmlformats.org/officeDocument/2006/relationships/hyperlink" Target="https://pesquisa.apps.tcu.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esquisa.apps.tcu.gov.br/" TargetMode="External"/><Relationship Id="rId20" Type="http://schemas.openxmlformats.org/officeDocument/2006/relationships/hyperlink" Target="https://pesquisa.apps.tcu.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squisa.apps.tcu.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esquisa.apps.tcu.gov.br/" TargetMode="External"/><Relationship Id="rId23" Type="http://schemas.openxmlformats.org/officeDocument/2006/relationships/hyperlink" Target="https://pesquisa.apps.tcu.gov.br/" TargetMode="External"/><Relationship Id="rId28" Type="http://schemas.openxmlformats.org/officeDocument/2006/relationships/header" Target="header3.xml"/><Relationship Id="rId10" Type="http://schemas.openxmlformats.org/officeDocument/2006/relationships/hyperlink" Target="https://pesquisa.apps.tcu.gov.br/" TargetMode="External"/><Relationship Id="rId19" Type="http://schemas.openxmlformats.org/officeDocument/2006/relationships/hyperlink" Target="https://pesquisa.apps.tcu.gov.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esquisa.apps.tcu.gov.br/" TargetMode="External"/><Relationship Id="rId14" Type="http://schemas.openxmlformats.org/officeDocument/2006/relationships/hyperlink" Target="https://pesquisa.apps.tcu.gov.br/" TargetMode="External"/><Relationship Id="rId22" Type="http://schemas.openxmlformats.org/officeDocument/2006/relationships/hyperlink" Target="https://pesquisa.apps.tcu.gov.br/"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pesquisa.apps.tcu.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4B17D.93862F2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image001.png@01D4B17D.93862F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8AD76-0860-479B-8186-11B9DEDE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2523</Words>
  <Characters>13630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Usuario</cp:lastModifiedBy>
  <cp:revision>4</cp:revision>
  <dcterms:created xsi:type="dcterms:W3CDTF">2019-06-05T15:56:00Z</dcterms:created>
  <dcterms:modified xsi:type="dcterms:W3CDTF">2019-06-05T16:17:00Z</dcterms:modified>
</cp:coreProperties>
</file>