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DD" w:rsidRDefault="00F673DD" w:rsidP="009D4845">
      <w:pPr>
        <w:tabs>
          <w:tab w:val="left" w:pos="0"/>
        </w:tabs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DECISÃO Nº 014/2017</w:t>
      </w:r>
    </w:p>
    <w:p w:rsidR="00F673DD" w:rsidRDefault="00F673DD" w:rsidP="009D4845">
      <w:pPr>
        <w:spacing w:after="0" w:line="360" w:lineRule="auto"/>
        <w:rPr>
          <w:b/>
          <w:u w:val="single"/>
        </w:rPr>
      </w:pPr>
    </w:p>
    <w:p w:rsidR="00F673DD" w:rsidRDefault="00F673DD" w:rsidP="009D4845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PROCEDIMENTO ADMINISTRATIVO Nº 025/2017.</w:t>
      </w:r>
    </w:p>
    <w:p w:rsidR="00F673DD" w:rsidRDefault="00F673DD" w:rsidP="009D4845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u w:val="single"/>
        </w:rPr>
        <w:t>OBJETO</w:t>
      </w:r>
      <w:r>
        <w:rPr>
          <w:b/>
        </w:rPr>
        <w:t xml:space="preserve">: </w:t>
      </w:r>
      <w:r>
        <w:t>Análise do pedido de reajuste anual tarifário dos serviços públicos prestados pelo Serviço Autônomo Municipal de Água e Esgoto de Gaspar – SAMAE.</w:t>
      </w:r>
    </w:p>
    <w:p w:rsidR="00F673DD" w:rsidRDefault="00F673DD" w:rsidP="009D4845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u w:val="single"/>
        </w:rPr>
        <w:t>SOLICITANTE</w:t>
      </w:r>
      <w:r>
        <w:rPr>
          <w:b/>
        </w:rPr>
        <w:t xml:space="preserve">: </w:t>
      </w:r>
      <w:r>
        <w:t>Serviço Autônomo Municipal de Água e Esgoto de Gaspar – SAMAE.</w:t>
      </w:r>
    </w:p>
    <w:p w:rsidR="00F673DD" w:rsidRDefault="00F673DD" w:rsidP="009D4845">
      <w:pPr>
        <w:spacing w:after="0" w:line="360" w:lineRule="auto"/>
        <w:jc w:val="both"/>
      </w:pPr>
      <w:r>
        <w:rPr>
          <w:b/>
          <w:u w:val="single"/>
        </w:rPr>
        <w:t>INTERESSADO</w:t>
      </w:r>
      <w:r>
        <w:rPr>
          <w:b/>
        </w:rPr>
        <w:t xml:space="preserve">: </w:t>
      </w:r>
      <w:r>
        <w:t>Município e SAMAE de Gaspar.</w:t>
      </w:r>
    </w:p>
    <w:p w:rsidR="002B5085" w:rsidRDefault="002B5085" w:rsidP="009D4845">
      <w:pPr>
        <w:spacing w:after="0" w:line="360" w:lineRule="auto"/>
      </w:pPr>
    </w:p>
    <w:p w:rsidR="00D813EA" w:rsidRDefault="00D813EA" w:rsidP="00361D01">
      <w:pPr>
        <w:pStyle w:val="PargrafodaLista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</w:rPr>
      </w:pPr>
      <w:r w:rsidRPr="009D4845">
        <w:rPr>
          <w:b/>
        </w:rPr>
        <w:t>BREVE RELATÓRIO</w:t>
      </w:r>
      <w:r w:rsidR="009D4845" w:rsidRPr="009D4845">
        <w:rPr>
          <w:b/>
        </w:rPr>
        <w:t>:</w:t>
      </w:r>
    </w:p>
    <w:p w:rsidR="009D4845" w:rsidRPr="009D4845" w:rsidRDefault="009D4845" w:rsidP="009D4845">
      <w:pPr>
        <w:pStyle w:val="PargrafodaLista"/>
        <w:spacing w:after="0" w:line="360" w:lineRule="auto"/>
        <w:jc w:val="both"/>
        <w:rPr>
          <w:b/>
        </w:rPr>
      </w:pPr>
    </w:p>
    <w:p w:rsidR="00C97010" w:rsidRDefault="00634C9E" w:rsidP="009D4845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Através</w:t>
      </w:r>
      <w:r w:rsidR="00176E91">
        <w:t xml:space="preserve"> </w:t>
      </w:r>
      <w:r w:rsidR="002276ED">
        <w:t>d</w:t>
      </w:r>
      <w:r w:rsidR="00176E91">
        <w:t>o Ofício nº 030/2017</w:t>
      </w:r>
      <w:r w:rsidR="000B5254">
        <w:t>,</w:t>
      </w:r>
      <w:r w:rsidR="00176E91">
        <w:t xml:space="preserve"> de 24 de fevereiro de 2017,</w:t>
      </w:r>
      <w:r w:rsidR="00737310">
        <w:t xml:space="preserve"> o SAMAE de Gaspar solicitou reajuste l</w:t>
      </w:r>
      <w:r w:rsidR="00176E91">
        <w:t xml:space="preserve">inear dos serviços e preços </w:t>
      </w:r>
      <w:r w:rsidR="00737310">
        <w:t xml:space="preserve">por ele praticados, levando em consideração a legislação municipal, que aponta para a utilização </w:t>
      </w:r>
      <w:r w:rsidR="00176E91">
        <w:t>do Índice Nacional de Preços ao Consumidor (INPC)</w:t>
      </w:r>
      <w:r w:rsidR="00737310">
        <w:t>. Nesse pleito</w:t>
      </w:r>
      <w:r w:rsidR="00176E91">
        <w:t xml:space="preserve"> a Autarquia solicitou </w:t>
      </w:r>
      <w:r w:rsidR="009D4845">
        <w:t xml:space="preserve">que </w:t>
      </w:r>
      <w:r w:rsidR="00737310">
        <w:t>fossem aplicados</w:t>
      </w:r>
      <w:r w:rsidR="00176E91">
        <w:t xml:space="preserve"> os índices cumulativos de fevereiro/2016 </w:t>
      </w:r>
      <w:proofErr w:type="gramStart"/>
      <w:r w:rsidR="009D4845">
        <w:t>à</w:t>
      </w:r>
      <w:proofErr w:type="gramEnd"/>
      <w:r w:rsidR="00176E91">
        <w:t xml:space="preserve"> janeiro/2017, uma vez que o índice no mês de fevereiro ainda não havia sido divulgado (informação não disponível). No período acima citado, o INPC acumulado é de 5,44% (</w:t>
      </w:r>
      <w:proofErr w:type="gramStart"/>
      <w:r w:rsidR="00176E91">
        <w:t xml:space="preserve">cinco </w:t>
      </w:r>
      <w:r w:rsidR="00924167">
        <w:t>ví</w:t>
      </w:r>
      <w:r w:rsidR="00176E91">
        <w:t>rgula</w:t>
      </w:r>
      <w:proofErr w:type="gramEnd"/>
      <w:r w:rsidR="00176E91">
        <w:t xml:space="preserve"> quarenta e quatro por cento).</w:t>
      </w:r>
      <w:r w:rsidR="00737310">
        <w:t xml:space="preserve"> Ainda, complementarmente, solicita </w:t>
      </w:r>
      <w:r w:rsidR="00C97010">
        <w:t xml:space="preserve">uma </w:t>
      </w:r>
      <w:r w:rsidR="009D4845">
        <w:t>complementação de 2% (dois por cento</w:t>
      </w:r>
      <w:r w:rsidR="00C97010">
        <w:t xml:space="preserve">), à título de recursos para investimentos. Pede assim, </w:t>
      </w:r>
      <w:r w:rsidR="009D4845">
        <w:t xml:space="preserve">que </w:t>
      </w:r>
      <w:r w:rsidR="00C97010">
        <w:t>seja aplica</w:t>
      </w:r>
      <w:r w:rsidR="00924167">
        <w:t>do um reajuste de 7,44% (</w:t>
      </w:r>
      <w:proofErr w:type="gramStart"/>
      <w:r w:rsidR="00924167">
        <w:t>sete ví</w:t>
      </w:r>
      <w:r w:rsidR="00C97010">
        <w:t>rgula</w:t>
      </w:r>
      <w:proofErr w:type="gramEnd"/>
      <w:r w:rsidR="00C97010">
        <w:t xml:space="preserve"> quarenta e quatro por cento), para ampliar as capacidades de tratamento, reservação e distribuição de água potável e realizar melhorias na estrutura da Autarquia</w:t>
      </w:r>
      <w:r w:rsidR="00924167">
        <w:t>,</w:t>
      </w:r>
      <w:r w:rsidR="00C97010">
        <w:t xml:space="preserve"> para melhor atender os consumidores, garantindo qualidade no atendimento e eficiência na gestão no sistema de abastecimento de água.</w:t>
      </w:r>
    </w:p>
    <w:p w:rsidR="00D813EA" w:rsidRDefault="00C97010" w:rsidP="009D4845">
      <w:pPr>
        <w:spacing w:after="0" w:line="360" w:lineRule="auto"/>
        <w:ind w:firstLine="851"/>
        <w:jc w:val="both"/>
      </w:pPr>
      <w:r>
        <w:t>Como bem apontado no Parecer Administrativo nº 029/2017</w:t>
      </w:r>
      <w:r w:rsidR="00920194">
        <w:t>,</w:t>
      </w:r>
      <w:r w:rsidR="00AF3138">
        <w:t xml:space="preserve"> que integra a presente </w:t>
      </w:r>
      <w:r w:rsidR="009D4845">
        <w:t>D</w:t>
      </w:r>
      <w:r w:rsidR="00AF3138">
        <w:t>ecisão,</w:t>
      </w:r>
      <w:r w:rsidR="00920194">
        <w:t xml:space="preserve"> o reajuste concedido no ano anterior, contemplou o período entre o mês de março de 2015 até o mês de fevereiro de 2016, inclusive. Essa, portanto, </w:t>
      </w:r>
      <w:r w:rsidR="009D4845">
        <w:t xml:space="preserve">é a correta </w:t>
      </w:r>
      <w:r w:rsidR="00920194">
        <w:t xml:space="preserve">data base para o pedido ora em análise. Referido </w:t>
      </w:r>
      <w:r w:rsidR="009D4845">
        <w:t>P</w:t>
      </w:r>
      <w:r w:rsidR="00920194">
        <w:t xml:space="preserve">arecer, cita ainda que foram informados os investimentos efetuados em 2016, bem como </w:t>
      </w:r>
      <w:r w:rsidR="009D4845">
        <w:t xml:space="preserve">que </w:t>
      </w:r>
      <w:r w:rsidR="00920194">
        <w:t xml:space="preserve">já ocorreu a revisão do </w:t>
      </w:r>
      <w:r w:rsidR="009D4845">
        <w:t>Plano Municipal de Saneamento Básico do município de Gaspar – PMSB</w:t>
      </w:r>
      <w:r w:rsidR="00920194">
        <w:t>, cujo texto integral</w:t>
      </w:r>
      <w:r w:rsidR="00527C43">
        <w:t xml:space="preserve"> (digitalizado)</w:t>
      </w:r>
      <w:r w:rsidR="00920194">
        <w:t xml:space="preserve"> foi disponibilizad</w:t>
      </w:r>
      <w:r w:rsidR="00E45A2B">
        <w:t>o</w:t>
      </w:r>
      <w:r w:rsidR="00920194">
        <w:t xml:space="preserve"> para a </w:t>
      </w:r>
      <w:r w:rsidR="00E45A2B">
        <w:t>A</w:t>
      </w:r>
      <w:r w:rsidR="00920194">
        <w:t>gência, no mês de fevereiro</w:t>
      </w:r>
      <w:r w:rsidR="00527C43">
        <w:t xml:space="preserve"> do corrente ano. Vários outros documentos foram juntados </w:t>
      </w:r>
      <w:r w:rsidR="00527C43">
        <w:lastRenderedPageBreak/>
        <w:t>ao Procedimento Administrativo nº 025/2017 e que assim, proporcionaram a elaboração e a análise do pedido de reajuste.</w:t>
      </w:r>
    </w:p>
    <w:p w:rsidR="00527C43" w:rsidRDefault="003F6F25" w:rsidP="00E45A2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</w:pPr>
      <w:r>
        <w:t>A equipe</w:t>
      </w:r>
      <w:r w:rsidR="00527C43">
        <w:t xml:space="preserve"> </w:t>
      </w:r>
      <w:proofErr w:type="gramStart"/>
      <w:r w:rsidR="00527C43">
        <w:t>da</w:t>
      </w:r>
      <w:proofErr w:type="gramEnd"/>
      <w:r w:rsidR="00527C43">
        <w:t xml:space="preserve"> AGIR, com muita propriedade e </w:t>
      </w:r>
      <w:r w:rsidR="0095353C">
        <w:t>zelo</w:t>
      </w:r>
      <w:r w:rsidR="00527C43">
        <w:t xml:space="preserve"> profissional</w:t>
      </w:r>
      <w:r w:rsidR="0067059B">
        <w:t>,</w:t>
      </w:r>
      <w:r w:rsidR="00527C43">
        <w:t xml:space="preserve"> que já lhe é peculiar, no item 4, faz perfeita análise dos investimentos e que culmina com a elaboração do </w:t>
      </w:r>
      <w:r w:rsidR="00527C43">
        <w:rPr>
          <w:b/>
        </w:rPr>
        <w:t>Quadro 4 – Investimentos executados e estimados para Gaspar – melhorias estruturais para ampliar a se</w:t>
      </w:r>
      <w:r w:rsidR="0067059B">
        <w:rPr>
          <w:b/>
        </w:rPr>
        <w:t>gurança e a operação dos S.A.A.</w:t>
      </w:r>
      <w:r w:rsidR="0067059B">
        <w:t xml:space="preserve"> e, com a mesma propriedade, faz análise dos investimentos executados e estimados</w:t>
      </w:r>
      <w:r w:rsidR="00E3666C">
        <w:t>,</w:t>
      </w:r>
      <w:r w:rsidR="0067059B">
        <w:t xml:space="preserve"> no sentido de minimizar as perdas hídricas (</w:t>
      </w:r>
      <w:r w:rsidR="0067059B" w:rsidRPr="0067059B">
        <w:rPr>
          <w:b/>
        </w:rPr>
        <w:t>Quadro 5</w:t>
      </w:r>
      <w:r w:rsidR="0067059B">
        <w:t>). E</w:t>
      </w:r>
      <w:r w:rsidR="005D1CF4">
        <w:t xml:space="preserve"> a análise segue em detalhe</w:t>
      </w:r>
      <w:r w:rsidR="00E3666C">
        <w:t xml:space="preserve">s, quase que autoexplicativos, </w:t>
      </w:r>
      <w:r w:rsidR="005D1CF4">
        <w:t xml:space="preserve">que apontam com </w:t>
      </w:r>
      <w:r w:rsidR="00E45A2B">
        <w:t xml:space="preserve">tecnicidade </w:t>
      </w:r>
      <w:r w:rsidR="005D1CF4">
        <w:t xml:space="preserve">como pode e deve ser feita a gestão da conta água do município de Gaspar, por intermédio da </w:t>
      </w:r>
      <w:r w:rsidR="00E45A2B">
        <w:t>A</w:t>
      </w:r>
      <w:r w:rsidR="005D1CF4">
        <w:t xml:space="preserve">utarquia SAMAE. Já </w:t>
      </w:r>
      <w:r w:rsidR="00E45A2B">
        <w:t>Q</w:t>
      </w:r>
      <w:r w:rsidR="005D1CF4">
        <w:t>uadro 8, apresenta um panorama das ações para o ano de 2017</w:t>
      </w:r>
      <w:r w:rsidR="00607B42">
        <w:t xml:space="preserve">, com o </w:t>
      </w:r>
      <w:proofErr w:type="gramStart"/>
      <w:r w:rsidR="00607B42">
        <w:t>cronograma  físic</w:t>
      </w:r>
      <w:r w:rsidR="005D7F05">
        <w:t>o</w:t>
      </w:r>
      <w:proofErr w:type="gramEnd"/>
      <w:r w:rsidR="005D7F05">
        <w:t xml:space="preserve"> correspondente.  A partir do i</w:t>
      </w:r>
      <w:r w:rsidR="00607B42">
        <w:t>tem 5, é fe</w:t>
      </w:r>
      <w:r w:rsidR="005D7F05">
        <w:t xml:space="preserve">ita a análise dos dados físicos, como a energia elétrica e a sua eficiência e a demonstração </w:t>
      </w:r>
      <w:proofErr w:type="gramStart"/>
      <w:r w:rsidR="005D7F05">
        <w:t>é</w:t>
      </w:r>
      <w:proofErr w:type="gramEnd"/>
      <w:r w:rsidR="005D7F05">
        <w:t xml:space="preserve"> apresentada através dos </w:t>
      </w:r>
      <w:r w:rsidR="00361D01">
        <w:t>G</w:t>
      </w:r>
      <w:r w:rsidR="005D7F05">
        <w:t>ráficos 1, 2</w:t>
      </w:r>
      <w:r w:rsidR="00361D01">
        <w:t xml:space="preserve"> e</w:t>
      </w:r>
      <w:r w:rsidR="008A1DE3">
        <w:t xml:space="preserve"> 3 e ainda</w:t>
      </w:r>
      <w:r w:rsidR="00361D01">
        <w:t>,</w:t>
      </w:r>
      <w:r w:rsidR="008A1DE3">
        <w:t xml:space="preserve"> </w:t>
      </w:r>
      <w:r w:rsidR="00361D01">
        <w:t>por meio d</w:t>
      </w:r>
      <w:r w:rsidR="008A1DE3">
        <w:t>os Quadros 9</w:t>
      </w:r>
      <w:r w:rsidR="00361D01">
        <w:t xml:space="preserve"> e</w:t>
      </w:r>
      <w:r w:rsidR="008A1DE3">
        <w:t xml:space="preserve"> 10. Na sequência das análises</w:t>
      </w:r>
      <w:r w:rsidR="00E3666C">
        <w:t>,</w:t>
      </w:r>
      <w:r w:rsidR="008A1DE3">
        <w:t xml:space="preserve"> são produzidos </w:t>
      </w:r>
      <w:r w:rsidR="00361D01">
        <w:t xml:space="preserve">demais </w:t>
      </w:r>
      <w:r w:rsidR="008A1DE3">
        <w:t>gráficos e quadros para a visualização do volume da água produzid</w:t>
      </w:r>
      <w:r w:rsidR="00361D01">
        <w:t>o</w:t>
      </w:r>
      <w:r w:rsidR="008A1DE3">
        <w:t>, o faturado e a micromedição, além da avaliação do parque de hidrômetros e as metas fixadas para o corrente ano.</w:t>
      </w:r>
    </w:p>
    <w:p w:rsidR="00361D01" w:rsidRDefault="008A1DE3" w:rsidP="009D4845">
      <w:pPr>
        <w:suppressAutoHyphens/>
        <w:spacing w:after="0" w:line="360" w:lineRule="auto"/>
        <w:ind w:firstLine="709"/>
        <w:jc w:val="both"/>
      </w:pPr>
      <w:r>
        <w:t xml:space="preserve">A partir do item 6, a equipe administrativa e </w:t>
      </w:r>
      <w:r w:rsidR="00361D01">
        <w:t>econômico-financeira</w:t>
      </w:r>
      <w:r>
        <w:t xml:space="preserve"> </w:t>
      </w:r>
      <w:proofErr w:type="gramStart"/>
      <w:r>
        <w:t>da</w:t>
      </w:r>
      <w:proofErr w:type="gramEnd"/>
      <w:r>
        <w:t xml:space="preserve"> AGIR, passa a analisar os dados financeiros e contábeis</w:t>
      </w:r>
      <w:r w:rsidR="00533EE3">
        <w:t xml:space="preserve"> da </w:t>
      </w:r>
      <w:r w:rsidR="00361D01">
        <w:t>A</w:t>
      </w:r>
      <w:r w:rsidR="00533EE3">
        <w:t xml:space="preserve">utarquia e aponta como um dos pontos críticos </w:t>
      </w:r>
      <w:r w:rsidR="00361D01">
        <w:t xml:space="preserve">o </w:t>
      </w:r>
      <w:r w:rsidR="00533EE3">
        <w:t xml:space="preserve">valor significativo </w:t>
      </w:r>
      <w:r w:rsidR="0095353C">
        <w:t>da dívida ativa</w:t>
      </w:r>
      <w:r w:rsidR="00533EE3">
        <w:t xml:space="preserve"> e ainda a inadimplência mensal, esta que ao final do</w:t>
      </w:r>
      <w:r w:rsidR="00E3666C">
        <w:t xml:space="preserve"> ano de 2016, sofreu um forte acréscimo em seus valores</w:t>
      </w:r>
      <w:r w:rsidR="00533EE3">
        <w:t>. O Quadro 15 apresenta a metodologia para a apuração do índice da evasão da receit</w:t>
      </w:r>
      <w:r w:rsidR="00526B27">
        <w:t>a e também, no prosseguimento das análises</w:t>
      </w:r>
      <w:r w:rsidR="00F80531">
        <w:t xml:space="preserve">, adentra-se na análise do orçamento público (item 6.2) e que é apresentado de forma clara através do Quadro 17 e, </w:t>
      </w:r>
      <w:r w:rsidR="00361D01">
        <w:t>na sequência o Q</w:t>
      </w:r>
      <w:r w:rsidR="00F80531">
        <w:t xml:space="preserve">uadro 18 faz a representação do percentual de investimentos para 2017. </w:t>
      </w:r>
    </w:p>
    <w:p w:rsidR="00361D01" w:rsidRDefault="00F80531" w:rsidP="009D4845">
      <w:pPr>
        <w:suppressAutoHyphens/>
        <w:spacing w:after="0" w:line="360" w:lineRule="auto"/>
        <w:ind w:firstLine="709"/>
        <w:jc w:val="both"/>
      </w:pPr>
      <w:r>
        <w:t xml:space="preserve">Passa a análise também pelas informações patrimoniais e fluxo de caixa (item 6.4) e cuja visualização vem representada pelos </w:t>
      </w:r>
      <w:r w:rsidR="00361D01">
        <w:t>Q</w:t>
      </w:r>
      <w:r>
        <w:t xml:space="preserve">uadros 19 e 20. Estes quadros mostram, sem qualquer dúvida, os percentuais de cada gasto, em comparativos com as receitas. De outra banda, a análise administrava aborda os custos e o </w:t>
      </w:r>
      <w:r w:rsidR="00361D01">
        <w:t>Q</w:t>
      </w:r>
      <w:r>
        <w:t>uadro 23</w:t>
      </w:r>
      <w:r w:rsidR="00426D99">
        <w:t>,</w:t>
      </w:r>
      <w:r>
        <w:t xml:space="preserve"> mostra</w:t>
      </w:r>
      <w:r w:rsidR="009D26E6">
        <w:t xml:space="preserve"> os resultados d</w:t>
      </w:r>
      <w:r w:rsidR="00426D99">
        <w:t>estes</w:t>
      </w:r>
      <w:r w:rsidR="009D26E6">
        <w:t xml:space="preserve"> aplicados a produção, re</w:t>
      </w:r>
      <w:r w:rsidR="00080806">
        <w:t>servação e distribuição da ág</w:t>
      </w:r>
      <w:r w:rsidR="00426D99">
        <w:t>ua e este faz a demonstração</w:t>
      </w:r>
      <w:r w:rsidR="00D73EB3">
        <w:t xml:space="preserve">, ano a ano, </w:t>
      </w:r>
      <w:r w:rsidR="00426D99">
        <w:t xml:space="preserve">da existência de </w:t>
      </w:r>
      <w:r w:rsidR="00D73EB3">
        <w:t xml:space="preserve">superávit. As demais análises e as suas demonstrações, apontam para uma </w:t>
      </w:r>
      <w:r w:rsidR="00A056CD">
        <w:lastRenderedPageBreak/>
        <w:t xml:space="preserve">situação (econômica/financeira) relativamente confortável, em relação a água junto ao município de Gaspar. O </w:t>
      </w:r>
      <w:r w:rsidR="00A056CD" w:rsidRPr="00DC6888">
        <w:rPr>
          <w:b/>
        </w:rPr>
        <w:t>Quadro 2</w:t>
      </w:r>
      <w:r w:rsidR="00A056CD">
        <w:rPr>
          <w:b/>
        </w:rPr>
        <w:t>7</w:t>
      </w:r>
      <w:r w:rsidR="00A056CD" w:rsidRPr="00DC6888">
        <w:rPr>
          <w:b/>
        </w:rPr>
        <w:t xml:space="preserve"> – </w:t>
      </w:r>
      <w:r w:rsidR="00A056CD">
        <w:rPr>
          <w:b/>
        </w:rPr>
        <w:t xml:space="preserve">Análise Financeira SAMAE de Gaspar 2017, </w:t>
      </w:r>
      <w:r w:rsidR="00A056CD">
        <w:t xml:space="preserve">do </w:t>
      </w:r>
      <w:r w:rsidR="00361D01">
        <w:t>P</w:t>
      </w:r>
      <w:r w:rsidR="00A056CD">
        <w:t xml:space="preserve">arecer </w:t>
      </w:r>
      <w:r w:rsidR="00361D01">
        <w:t>A</w:t>
      </w:r>
      <w:r w:rsidR="00A056CD">
        <w:t>dministrativo</w:t>
      </w:r>
      <w:r w:rsidR="00361D01">
        <w:t>, inclusive</w:t>
      </w:r>
      <w:r w:rsidR="00A056CD">
        <w:t xml:space="preserve"> bem o demonstra. </w:t>
      </w:r>
    </w:p>
    <w:p w:rsidR="00B74CA7" w:rsidRDefault="00AA3DD8" w:rsidP="009D4845">
      <w:pPr>
        <w:suppressAutoHyphens/>
        <w:spacing w:after="0" w:line="360" w:lineRule="auto"/>
        <w:ind w:firstLine="709"/>
        <w:jc w:val="both"/>
      </w:pPr>
      <w:r>
        <w:t>Opin</w:t>
      </w:r>
      <w:r w:rsidR="00361D01">
        <w:t>a assim</w:t>
      </w:r>
      <w:r>
        <w:t>,</w:t>
      </w:r>
      <w:r w:rsidR="00426D99">
        <w:t xml:space="preserve"> o </w:t>
      </w:r>
      <w:r w:rsidR="00361D01">
        <w:t>P</w:t>
      </w:r>
      <w:r w:rsidR="00426D99">
        <w:t xml:space="preserve">arecer, </w:t>
      </w:r>
      <w:r>
        <w:t xml:space="preserve">pela concessão do reajuste, aplicando-se o percentual de </w:t>
      </w:r>
      <w:r w:rsidRPr="00AA3DD8">
        <w:rPr>
          <w:b/>
        </w:rPr>
        <w:t>4,69%</w:t>
      </w:r>
      <w:r>
        <w:t xml:space="preserve"> (</w:t>
      </w:r>
      <w:proofErr w:type="gramStart"/>
      <w:r>
        <w:t>quatro vírgula</w:t>
      </w:r>
      <w:proofErr w:type="gramEnd"/>
      <w:r>
        <w:t xml:space="preserve"> sessenta e nove</w:t>
      </w:r>
      <w:r w:rsidR="00426D99">
        <w:t xml:space="preserve"> por cento</w:t>
      </w:r>
      <w:r>
        <w:t xml:space="preserve">), como demonstrado no </w:t>
      </w:r>
      <w:r w:rsidRPr="001109DD">
        <w:rPr>
          <w:b/>
        </w:rPr>
        <w:t xml:space="preserve">Quadro </w:t>
      </w:r>
      <w:r>
        <w:rPr>
          <w:b/>
        </w:rPr>
        <w:t>28</w:t>
      </w:r>
      <w:r w:rsidRPr="001109DD">
        <w:rPr>
          <w:b/>
        </w:rPr>
        <w:t xml:space="preserve"> – Evolução do INPC</w:t>
      </w:r>
      <w:r>
        <w:rPr>
          <w:b/>
        </w:rPr>
        <w:t xml:space="preserve"> de</w:t>
      </w:r>
      <w:r w:rsidRPr="001109DD">
        <w:rPr>
          <w:b/>
        </w:rPr>
        <w:t xml:space="preserve"> </w:t>
      </w:r>
      <w:r>
        <w:rPr>
          <w:b/>
        </w:rPr>
        <w:t>m</w:t>
      </w:r>
      <w:r w:rsidRPr="001109DD">
        <w:rPr>
          <w:b/>
        </w:rPr>
        <w:t>arço/201</w:t>
      </w:r>
      <w:r>
        <w:rPr>
          <w:b/>
        </w:rPr>
        <w:t>6</w:t>
      </w:r>
      <w:r w:rsidRPr="001109DD">
        <w:rPr>
          <w:b/>
        </w:rPr>
        <w:t xml:space="preserve"> a </w:t>
      </w:r>
      <w:r>
        <w:rPr>
          <w:b/>
        </w:rPr>
        <w:t>f</w:t>
      </w:r>
      <w:r w:rsidRPr="001109DD">
        <w:rPr>
          <w:b/>
        </w:rPr>
        <w:t>evereiro/201</w:t>
      </w:r>
      <w:r>
        <w:rPr>
          <w:b/>
        </w:rPr>
        <w:t xml:space="preserve">7 </w:t>
      </w:r>
      <w:r>
        <w:t xml:space="preserve">e não considerando a reposição de </w:t>
      </w:r>
      <w:r w:rsidRPr="00AA3DD8">
        <w:rPr>
          <w:b/>
        </w:rPr>
        <w:t xml:space="preserve">2,00% </w:t>
      </w:r>
      <w:r w:rsidRPr="00361D01">
        <w:t>(dois por cento)</w:t>
      </w:r>
      <w:r w:rsidR="006E5A47">
        <w:rPr>
          <w:b/>
        </w:rPr>
        <w:t xml:space="preserve"> </w:t>
      </w:r>
      <w:r w:rsidR="006E5A47">
        <w:t xml:space="preserve">que foi solicitada pela Autarquia. </w:t>
      </w:r>
      <w:r w:rsidR="00B74CA7">
        <w:t>O Parecer Jurídico, por outro lado, detém o seu olhar especializado nos aspectos legais, doutrina e jurisprudência e em bem lançado material técnico, entende cumpridos os requisitos legais que possibilitam, em parte, o acolhimento do pedido e também entendo que o mesmo deve ser reconhecido e deferido.</w:t>
      </w:r>
    </w:p>
    <w:p w:rsidR="006E5A47" w:rsidRDefault="006E5A47" w:rsidP="009D4845">
      <w:pPr>
        <w:suppressAutoHyphens/>
        <w:spacing w:after="0" w:line="360" w:lineRule="auto"/>
        <w:ind w:firstLine="709"/>
        <w:jc w:val="both"/>
      </w:pPr>
      <w:r>
        <w:t>Esse o mínimo e necessário relatório.</w:t>
      </w:r>
    </w:p>
    <w:p w:rsidR="006E5A47" w:rsidRDefault="006E5A47" w:rsidP="009D4845">
      <w:pPr>
        <w:suppressAutoHyphens/>
        <w:spacing w:after="0" w:line="360" w:lineRule="auto"/>
        <w:ind w:firstLine="709"/>
        <w:jc w:val="both"/>
      </w:pPr>
    </w:p>
    <w:p w:rsidR="006E5A47" w:rsidRDefault="006E5A47" w:rsidP="009D4845">
      <w:pPr>
        <w:suppressAutoHyphens/>
        <w:spacing w:after="0" w:line="360" w:lineRule="auto"/>
        <w:jc w:val="both"/>
        <w:rPr>
          <w:b/>
        </w:rPr>
      </w:pPr>
      <w:r>
        <w:rPr>
          <w:b/>
        </w:rPr>
        <w:t>2. DECISÃO:</w:t>
      </w:r>
    </w:p>
    <w:p w:rsidR="00801183" w:rsidRDefault="00801183" w:rsidP="009D4845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E63869" w:rsidRDefault="00B74CA7" w:rsidP="009D4845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O Serviço Autônomo Municipal de Água e Esgoto de Gaspar – SAMAE, </w:t>
      </w:r>
      <w:r w:rsidR="0019703E">
        <w:t>A</w:t>
      </w:r>
      <w:r>
        <w:t>utarquia que integra a administração municipal de Gaspar, em tempo hábil e com o pedido de reajuste instruído com os documentos mínimos</w:t>
      </w:r>
      <w:r w:rsidR="00E63869">
        <w:t xml:space="preserve"> necessários</w:t>
      </w:r>
      <w:r>
        <w:t xml:space="preserve">, </w:t>
      </w:r>
      <w:r w:rsidR="00E63869">
        <w:t xml:space="preserve">protocolou nesta Agência o seu </w:t>
      </w:r>
      <w:r w:rsidR="00426D99">
        <w:t>pleito</w:t>
      </w:r>
      <w:r w:rsidR="00E63869">
        <w:t xml:space="preserve"> anual de reajuste, no qual </w:t>
      </w:r>
      <w:r w:rsidR="00426D99">
        <w:t>solicita</w:t>
      </w:r>
      <w:r w:rsidR="00E63869">
        <w:t xml:space="preserve"> a aplicação dos índices cumulativos de fevereiro/2016 a janeiro/2017, uma vez que o índice </w:t>
      </w:r>
      <w:r w:rsidR="009434EB">
        <w:t>d</w:t>
      </w:r>
      <w:r w:rsidR="00E63869">
        <w:t xml:space="preserve">o mês de fevereiro ainda não havia sido divulgado (informação não disponível) e que no período acima citado, o INPC acumulado é de 5,44% (cinco vírgula quarenta e quatro por cento). Além do reajuste legal, requer mais 2% (dois por cento) para viabilizar os investimentos previstos para o ano </w:t>
      </w:r>
      <w:r w:rsidR="009434EB">
        <w:t xml:space="preserve">de </w:t>
      </w:r>
      <w:r w:rsidR="00E63869">
        <w:t>2017, discriminados no Anexo II do Ofício</w:t>
      </w:r>
      <w:r w:rsidR="009434EB">
        <w:t xml:space="preserve"> do pleito</w:t>
      </w:r>
      <w:r w:rsidR="00E63869">
        <w:t>.</w:t>
      </w:r>
    </w:p>
    <w:p w:rsidR="00E63869" w:rsidRDefault="00AF5F56" w:rsidP="009D4845">
      <w:pPr>
        <w:suppressAutoHyphens/>
        <w:spacing w:after="0" w:line="360" w:lineRule="auto"/>
        <w:ind w:firstLine="709"/>
        <w:jc w:val="both"/>
      </w:pPr>
      <w:r>
        <w:t xml:space="preserve">A </w:t>
      </w:r>
      <w:r w:rsidR="00E63869" w:rsidRPr="00E63869">
        <w:t xml:space="preserve">Agência Intermunicipal de Regulação, Controle e Fiscalização de Serviços Públicos Municipais do Médio Vale do Itajaí – AGIR, com amparo nos termos da Lei nº 11.445/2007, Decreto nº 7.217/2010 e ainda em conformidade com o Protocolo de Intenções da AGIR, transformado em Lei Complementar Municipal nº 48/2010 e ainda por força da Lei nº 11.107/2005 e Decreto nº 6.017/07, </w:t>
      </w:r>
      <w:r>
        <w:t xml:space="preserve">vem </w:t>
      </w:r>
      <w:r w:rsidR="00E63869" w:rsidRPr="00E63869">
        <w:t xml:space="preserve">proferir a sua </w:t>
      </w:r>
      <w:r w:rsidR="009434EB">
        <w:t>D</w:t>
      </w:r>
      <w:r w:rsidR="00E63869" w:rsidRPr="00E63869">
        <w:t xml:space="preserve">ecisão ao pedido de reajuste anual </w:t>
      </w:r>
      <w:r w:rsidR="00E63869" w:rsidRPr="00E63869">
        <w:lastRenderedPageBreak/>
        <w:t xml:space="preserve">tarifário dos serviços públicos prestados pelo Serviço Autônomo Municipal de </w:t>
      </w:r>
      <w:r>
        <w:t>Água e Esgoto de Gaspar – SAMAE.</w:t>
      </w:r>
    </w:p>
    <w:p w:rsidR="00AF5F56" w:rsidRDefault="00AF5F56" w:rsidP="009D4845">
      <w:pPr>
        <w:suppressAutoHyphens/>
        <w:spacing w:after="0" w:line="360" w:lineRule="auto"/>
        <w:ind w:firstLine="709"/>
        <w:jc w:val="both"/>
      </w:pPr>
      <w:r>
        <w:t xml:space="preserve">A </w:t>
      </w:r>
      <w:r w:rsidR="009434EB">
        <w:t>D</w:t>
      </w:r>
      <w:r>
        <w:t>ecisão ora proferida atende, dentre outros objetivos, a definição da atualização da tarifa da água e dos serviços</w:t>
      </w:r>
      <w:r w:rsidR="00640280">
        <w:t xml:space="preserve"> do SAMAE de Gaspar/SC, como previsto nos artigos 22, inciso IV, c/</w:t>
      </w:r>
      <w:proofErr w:type="gramStart"/>
      <w:r w:rsidR="00640280">
        <w:t>c</w:t>
      </w:r>
      <w:proofErr w:type="gramEnd"/>
      <w:r w:rsidR="00640280">
        <w:t xml:space="preserve"> o artigo 29, I, ambos da Lei </w:t>
      </w:r>
      <w:r w:rsidR="009434EB">
        <w:t xml:space="preserve">nº </w:t>
      </w:r>
      <w:r w:rsidR="00640280">
        <w:t>11.445, de 05 de janeiro de 2007, além da observância da legislação municipal que define com</w:t>
      </w:r>
      <w:r w:rsidR="001C5695">
        <w:t>o</w:t>
      </w:r>
      <w:r w:rsidR="00640280">
        <w:t xml:space="preserve"> índice o INPC/IBGE.</w:t>
      </w:r>
    </w:p>
    <w:p w:rsidR="003677AC" w:rsidRDefault="003677AC" w:rsidP="009D4845">
      <w:pPr>
        <w:suppressAutoHyphens/>
        <w:spacing w:after="0" w:line="360" w:lineRule="auto"/>
        <w:ind w:firstLine="709"/>
        <w:jc w:val="both"/>
      </w:pPr>
      <w:r>
        <w:t xml:space="preserve">Por dever de oficio, diante de equívoco na indicação do período no pedido, como bem delimitado no </w:t>
      </w:r>
      <w:r w:rsidR="009434EB">
        <w:t>P</w:t>
      </w:r>
      <w:r>
        <w:t xml:space="preserve">arecer </w:t>
      </w:r>
      <w:r w:rsidR="009434EB">
        <w:t>A</w:t>
      </w:r>
      <w:r>
        <w:t xml:space="preserve">dministrativo nº 029/2017, fica </w:t>
      </w:r>
      <w:r w:rsidR="001C5695">
        <w:t xml:space="preserve">determinado </w:t>
      </w:r>
      <w:r w:rsidR="00AA18B7">
        <w:t xml:space="preserve">o período de 12 (doze) meses, </w:t>
      </w:r>
      <w:proofErr w:type="gramStart"/>
      <w:r w:rsidR="00AA18B7">
        <w:t>à</w:t>
      </w:r>
      <w:proofErr w:type="gramEnd"/>
      <w:r>
        <w:t xml:space="preserve"> partir d</w:t>
      </w:r>
      <w:r w:rsidR="009434EB">
        <w:t>o</w:t>
      </w:r>
      <w:r>
        <w:t xml:space="preserve"> </w:t>
      </w:r>
      <w:r w:rsidRPr="00AA18B7">
        <w:rPr>
          <w:b/>
          <w:u w:val="single"/>
        </w:rPr>
        <w:t>mês de março/2016 até o mês de fevereiro/2017</w:t>
      </w:r>
      <w:r w:rsidR="005654C5">
        <w:t>,</w:t>
      </w:r>
      <w:r w:rsidR="001C5695">
        <w:t xml:space="preserve"> (como já havia ocorrido em ano anterior)</w:t>
      </w:r>
      <w:r w:rsidR="005654C5">
        <w:t xml:space="preserve"> que aponta para o índice acumulado de 4,69</w:t>
      </w:r>
      <w:r w:rsidR="005654C5" w:rsidRPr="0080189B">
        <w:t>% (</w:t>
      </w:r>
      <w:r w:rsidR="005654C5">
        <w:t>quatro vírgula sessenta e nove por cento) e para não restar dúvida, replica-se o quadro 28</w:t>
      </w:r>
      <w:r w:rsidR="009434EB">
        <w:t xml:space="preserve"> do Parecer citado anteriormente</w:t>
      </w:r>
      <w:r w:rsidR="005654C5">
        <w:t>:</w:t>
      </w:r>
    </w:p>
    <w:p w:rsidR="005654C5" w:rsidRDefault="005654C5" w:rsidP="009D4845">
      <w:pPr>
        <w:suppressAutoHyphens/>
        <w:spacing w:after="0" w:line="360" w:lineRule="auto"/>
        <w:ind w:firstLine="709"/>
        <w:jc w:val="both"/>
      </w:pPr>
    </w:p>
    <w:p w:rsidR="005654C5" w:rsidRPr="001109DD" w:rsidRDefault="005654C5" w:rsidP="009D4845">
      <w:pPr>
        <w:spacing w:after="0" w:line="360" w:lineRule="auto"/>
        <w:rPr>
          <w:szCs w:val="20"/>
        </w:rPr>
      </w:pPr>
      <w:r w:rsidRPr="001109DD">
        <w:rPr>
          <w:b/>
        </w:rPr>
        <w:t xml:space="preserve">Quadro </w:t>
      </w:r>
      <w:r w:rsidR="009434EB">
        <w:rPr>
          <w:b/>
        </w:rPr>
        <w:t>1</w:t>
      </w:r>
      <w:r w:rsidRPr="001109DD">
        <w:rPr>
          <w:b/>
        </w:rPr>
        <w:t xml:space="preserve"> – Evolução do INPC</w:t>
      </w:r>
      <w:r>
        <w:rPr>
          <w:b/>
        </w:rPr>
        <w:t xml:space="preserve"> de</w:t>
      </w:r>
      <w:r w:rsidRPr="001109DD">
        <w:rPr>
          <w:b/>
        </w:rPr>
        <w:t xml:space="preserve"> </w:t>
      </w:r>
      <w:r>
        <w:rPr>
          <w:b/>
        </w:rPr>
        <w:t>m</w:t>
      </w:r>
      <w:r w:rsidRPr="001109DD">
        <w:rPr>
          <w:b/>
        </w:rPr>
        <w:t>arço/201</w:t>
      </w:r>
      <w:r>
        <w:rPr>
          <w:b/>
        </w:rPr>
        <w:t>6</w:t>
      </w:r>
      <w:r w:rsidRPr="001109DD">
        <w:rPr>
          <w:b/>
        </w:rPr>
        <w:t xml:space="preserve"> a </w:t>
      </w:r>
      <w:r>
        <w:rPr>
          <w:b/>
        </w:rPr>
        <w:t>f</w:t>
      </w:r>
      <w:r w:rsidRPr="001109DD">
        <w:rPr>
          <w:b/>
        </w:rPr>
        <w:t>evereiro/201</w:t>
      </w:r>
      <w:r>
        <w:rPr>
          <w:b/>
        </w:rPr>
        <w:t>7</w:t>
      </w:r>
      <w:r w:rsidRPr="001109DD">
        <w:rPr>
          <w:b/>
        </w:rPr>
        <w:t>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805"/>
        <w:gridCol w:w="3387"/>
        <w:gridCol w:w="3496"/>
      </w:tblGrid>
      <w:tr w:rsidR="005654C5" w:rsidRPr="001109DD" w:rsidTr="00AA18B7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0066CC"/>
              <w:left w:val="single" w:sz="4" w:space="0" w:color="0066CC"/>
              <w:bottom w:val="nil"/>
              <w:right w:val="single" w:sz="4" w:space="0" w:color="0066CC"/>
            </w:tcBorders>
            <w:shd w:val="clear" w:color="auto" w:fill="00B0F0"/>
            <w:vAlign w:val="center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000080"/>
                <w:sz w:val="27"/>
                <w:szCs w:val="27"/>
              </w:rPr>
            </w:pPr>
          </w:p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7"/>
                <w:szCs w:val="27"/>
              </w:rPr>
            </w:pPr>
            <w:r w:rsidRPr="001109DD">
              <w:rPr>
                <w:b/>
                <w:bCs/>
                <w:color w:val="FFFFFF"/>
                <w:sz w:val="27"/>
                <w:szCs w:val="27"/>
              </w:rPr>
              <w:t>ÍNDICE NACIONAL DE PREÇOS AO CONSUMIDOR – INPC</w:t>
            </w:r>
          </w:p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000080"/>
                <w:sz w:val="27"/>
                <w:szCs w:val="27"/>
              </w:rPr>
            </w:pP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single" w:sz="4" w:space="0" w:color="0066CC"/>
              <w:left w:val="single" w:sz="4" w:space="0" w:color="0066CC"/>
              <w:bottom w:val="nil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109DD">
              <w:rPr>
                <w:b/>
                <w:bCs/>
                <w:color w:val="FFFFFF"/>
                <w:sz w:val="20"/>
                <w:szCs w:val="20"/>
              </w:rPr>
              <w:t>Mês/ano</w:t>
            </w:r>
          </w:p>
        </w:tc>
        <w:tc>
          <w:tcPr>
            <w:tcW w:w="1805" w:type="dxa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9DD">
              <w:rPr>
                <w:b/>
                <w:bCs/>
                <w:color w:val="FFFFFF"/>
                <w:sz w:val="20"/>
                <w:szCs w:val="20"/>
              </w:rPr>
              <w:t>Índice do mês (em %)</w:t>
            </w:r>
          </w:p>
        </w:tc>
        <w:tc>
          <w:tcPr>
            <w:tcW w:w="3387" w:type="dxa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109DD">
              <w:rPr>
                <w:b/>
                <w:bCs/>
                <w:color w:val="FFFFFF"/>
                <w:sz w:val="20"/>
                <w:szCs w:val="20"/>
              </w:rPr>
              <w:t>Índice</w:t>
            </w:r>
          </w:p>
        </w:tc>
        <w:tc>
          <w:tcPr>
            <w:tcW w:w="3496" w:type="dxa"/>
            <w:tcBorders>
              <w:top w:val="single" w:sz="4" w:space="0" w:color="0066CC"/>
              <w:left w:val="nil"/>
              <w:bottom w:val="nil"/>
              <w:right w:val="single" w:sz="4" w:space="0" w:color="0066CC"/>
            </w:tcBorders>
            <w:shd w:val="clear" w:color="auto" w:fill="00B0F0"/>
            <w:vAlign w:val="center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1109DD">
              <w:rPr>
                <w:b/>
                <w:bCs/>
                <w:color w:val="FFFFFF"/>
                <w:sz w:val="20"/>
                <w:szCs w:val="20"/>
              </w:rPr>
              <w:t>Percentual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mar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/16</w:t>
            </w:r>
          </w:p>
        </w:tc>
        <w:tc>
          <w:tcPr>
            <w:tcW w:w="1805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1109DD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87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 w:rsidRPr="001109DD">
              <w:rPr>
                <w:color w:val="000000"/>
              </w:rPr>
              <w:t>1,</w:t>
            </w:r>
            <w:r>
              <w:rPr>
                <w:color w:val="000000"/>
              </w:rPr>
              <w:t>0044000</w:t>
            </w:r>
          </w:p>
        </w:tc>
        <w:tc>
          <w:tcPr>
            <w:tcW w:w="3496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0,4400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abr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/16</w:t>
            </w:r>
          </w:p>
        </w:tc>
        <w:tc>
          <w:tcPr>
            <w:tcW w:w="1805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387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1,0108282</w:t>
            </w:r>
          </w:p>
        </w:tc>
        <w:tc>
          <w:tcPr>
            <w:tcW w:w="3496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1,0828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maio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3387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1,0207343</w:t>
            </w:r>
          </w:p>
        </w:tc>
        <w:tc>
          <w:tcPr>
            <w:tcW w:w="3496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2,0734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jun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1,0255317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2,5532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jul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1,0320951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3,2095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ago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1,0352946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3,5295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set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1,0361229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3,6123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out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1,0378843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3,7884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nov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1,0386108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3,8611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dez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1,0400648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4,0065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lastRenderedPageBreak/>
              <w:t>jan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1,0444331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4,4433</w:t>
            </w:r>
          </w:p>
        </w:tc>
      </w:tr>
      <w:tr w:rsidR="005654C5" w:rsidRPr="001109DD" w:rsidTr="00AA18B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00B0F0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fev</w:t>
            </w:r>
            <w:r w:rsidRPr="001109DD">
              <w:rPr>
                <w:b/>
                <w:bCs/>
                <w:color w:val="FFFFFF"/>
                <w:sz w:val="20"/>
                <w:szCs w:val="20"/>
              </w:rPr>
              <w:t>/1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000000" w:fill="FFFFFF"/>
            <w:vAlign w:val="center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noWrap/>
            <w:vAlign w:val="bottom"/>
            <w:hideMark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1,0469398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66CC"/>
              <w:right w:val="single" w:sz="4" w:space="0" w:color="0066CC"/>
            </w:tcBorders>
            <w:vAlign w:val="bottom"/>
          </w:tcPr>
          <w:p w:rsidR="005654C5" w:rsidRPr="001109DD" w:rsidRDefault="005654C5" w:rsidP="009D4845">
            <w:pPr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4,6940</w:t>
            </w:r>
          </w:p>
        </w:tc>
      </w:tr>
    </w:tbl>
    <w:p w:rsidR="005654C5" w:rsidRPr="00A2645F" w:rsidRDefault="005654C5" w:rsidP="009D4845">
      <w:pPr>
        <w:spacing w:after="0" w:line="360" w:lineRule="auto"/>
        <w:rPr>
          <w:sz w:val="20"/>
          <w:szCs w:val="20"/>
        </w:rPr>
      </w:pPr>
      <w:r w:rsidRPr="00A2645F">
        <w:rPr>
          <w:bCs/>
          <w:sz w:val="20"/>
          <w:szCs w:val="20"/>
          <w:shd w:val="clear" w:color="auto" w:fill="FFFFFF"/>
        </w:rPr>
        <w:t>Fonte:</w:t>
      </w:r>
      <w:r w:rsidRPr="00A2645F">
        <w:rPr>
          <w:rStyle w:val="apple-converted-space"/>
          <w:bCs/>
          <w:sz w:val="20"/>
          <w:szCs w:val="20"/>
          <w:shd w:val="clear" w:color="auto" w:fill="FFFFFF"/>
        </w:rPr>
        <w:t xml:space="preserve"> Adaptado da </w:t>
      </w:r>
      <w:r w:rsidRPr="00A2645F">
        <w:rPr>
          <w:bCs/>
          <w:sz w:val="20"/>
          <w:szCs w:val="20"/>
          <w:shd w:val="clear" w:color="auto" w:fill="FFFFFF"/>
        </w:rPr>
        <w:t xml:space="preserve">Base de dados do IBGE, </w:t>
      </w:r>
      <w:r w:rsidRPr="00A2645F">
        <w:rPr>
          <w:sz w:val="20"/>
          <w:szCs w:val="20"/>
        </w:rPr>
        <w:t>Diretoria de Pesquisas, Coordenação de Índices de Preços, Sistema Nacional de Índices de Preços ao Consumidor.</w:t>
      </w:r>
      <w:r>
        <w:rPr>
          <w:sz w:val="20"/>
          <w:szCs w:val="20"/>
        </w:rPr>
        <w:t xml:space="preserve"> A</w:t>
      </w:r>
      <w:r w:rsidRPr="00A2645F">
        <w:rPr>
          <w:bCs/>
          <w:sz w:val="20"/>
          <w:szCs w:val="20"/>
          <w:shd w:val="clear" w:color="auto" w:fill="FFFFFF"/>
        </w:rPr>
        <w:t>cesso em: 1</w:t>
      </w:r>
      <w:r>
        <w:rPr>
          <w:bCs/>
          <w:sz w:val="20"/>
          <w:szCs w:val="20"/>
          <w:shd w:val="clear" w:color="auto" w:fill="FFFFFF"/>
        </w:rPr>
        <w:t>4</w:t>
      </w:r>
      <w:r w:rsidRPr="00A2645F">
        <w:rPr>
          <w:bCs/>
          <w:sz w:val="20"/>
          <w:szCs w:val="20"/>
          <w:shd w:val="clear" w:color="auto" w:fill="FFFFFF"/>
        </w:rPr>
        <w:t xml:space="preserve"> mar. 201</w:t>
      </w:r>
      <w:r>
        <w:rPr>
          <w:bCs/>
          <w:sz w:val="20"/>
          <w:szCs w:val="20"/>
          <w:shd w:val="clear" w:color="auto" w:fill="FFFFFF"/>
        </w:rPr>
        <w:t>7</w:t>
      </w:r>
      <w:r w:rsidRPr="00A2645F">
        <w:rPr>
          <w:bCs/>
          <w:sz w:val="20"/>
          <w:szCs w:val="20"/>
          <w:shd w:val="clear" w:color="auto" w:fill="FFFFFF"/>
        </w:rPr>
        <w:t>.</w:t>
      </w:r>
    </w:p>
    <w:p w:rsidR="009434EB" w:rsidRDefault="009434EB" w:rsidP="009D4845">
      <w:pPr>
        <w:suppressAutoHyphens/>
        <w:spacing w:after="0" w:line="360" w:lineRule="auto"/>
        <w:ind w:firstLine="709"/>
        <w:jc w:val="both"/>
      </w:pPr>
    </w:p>
    <w:p w:rsidR="005654C5" w:rsidRDefault="009434EB" w:rsidP="009D4845">
      <w:pPr>
        <w:suppressAutoHyphens/>
        <w:spacing w:after="0" w:line="360" w:lineRule="auto"/>
        <w:ind w:firstLine="709"/>
        <w:jc w:val="both"/>
      </w:pPr>
      <w:r>
        <w:t>Por tudo que restou analisado e revisado, e por tudo que acima foi exposto</w:t>
      </w:r>
      <w:r>
        <w:t>:</w:t>
      </w:r>
    </w:p>
    <w:p w:rsidR="00E63869" w:rsidRPr="001B2F57" w:rsidRDefault="005654C5" w:rsidP="009D484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AA18B7">
        <w:rPr>
          <w:b/>
        </w:rPr>
        <w:t>DEFERE-SE, PARCIALMENTE O REAJUSTE</w:t>
      </w:r>
      <w:r w:rsidR="009230A0">
        <w:rPr>
          <w:b/>
        </w:rPr>
        <w:t xml:space="preserve"> PLEITEADO PELA AUTARQUIA</w:t>
      </w:r>
      <w:r>
        <w:t xml:space="preserve">, </w:t>
      </w:r>
      <w:r w:rsidR="009230A0">
        <w:t xml:space="preserve">considerando-se para tanto </w:t>
      </w:r>
      <w:r>
        <w:t xml:space="preserve">o período de </w:t>
      </w:r>
      <w:proofErr w:type="gramStart"/>
      <w:r w:rsidRPr="00AA18B7">
        <w:rPr>
          <w:b/>
          <w:u w:val="single"/>
        </w:rPr>
        <w:t>MARÇO</w:t>
      </w:r>
      <w:proofErr w:type="gramEnd"/>
      <w:r w:rsidR="00AA18B7" w:rsidRPr="00AA18B7">
        <w:rPr>
          <w:b/>
          <w:u w:val="single"/>
        </w:rPr>
        <w:t>/2016 até FEVEREIRO/2017</w:t>
      </w:r>
      <w:r w:rsidR="00AA18B7">
        <w:t xml:space="preserve">, </w:t>
      </w:r>
      <w:r w:rsidR="00801183">
        <w:t xml:space="preserve">levando como base </w:t>
      </w:r>
      <w:r w:rsidR="001C5695">
        <w:t xml:space="preserve">o </w:t>
      </w:r>
      <w:r w:rsidR="00AA18B7">
        <w:t>índice acumulado</w:t>
      </w:r>
      <w:r w:rsidR="00801183">
        <w:t xml:space="preserve"> do INPC,</w:t>
      </w:r>
      <w:r w:rsidR="00AA18B7">
        <w:t xml:space="preserve"> de </w:t>
      </w:r>
      <w:r w:rsidR="00AA18B7" w:rsidRPr="00AA18B7">
        <w:rPr>
          <w:b/>
          <w:u w:val="single"/>
        </w:rPr>
        <w:t>4,69% (quatro vírgula sessenta e nove por cento)</w:t>
      </w:r>
      <w:r w:rsidR="001B2F57" w:rsidRPr="00800BB2">
        <w:rPr>
          <w:b/>
        </w:rPr>
        <w:t xml:space="preserve">, </w:t>
      </w:r>
      <w:r w:rsidR="001B2F57" w:rsidRPr="001B2F57">
        <w:t>e que representa o interstício mínimo de 12 (doze) meses;</w:t>
      </w:r>
    </w:p>
    <w:p w:rsidR="00801183" w:rsidRPr="001B2F57" w:rsidRDefault="00801183" w:rsidP="009D484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INDEFERE-SE</w:t>
      </w:r>
      <w:r w:rsidRPr="00801183">
        <w:t xml:space="preserve"> </w:t>
      </w:r>
      <w:r>
        <w:t>o percentual de 2,00% (dois por cento), que fora requerido à título percentual para investimentos, pelos fundamentos expostos no Parecer Administrativo nº 029/2017, que neste item</w:t>
      </w:r>
      <w:r w:rsidR="00E73E80">
        <w:t xml:space="preserve"> também</w:t>
      </w:r>
      <w:r>
        <w:t xml:space="preserve"> integra a presente </w:t>
      </w:r>
      <w:r w:rsidR="00800BB2">
        <w:t>D</w:t>
      </w:r>
      <w:r>
        <w:t>ecisão, para todos os seus efeitos legais;</w:t>
      </w:r>
    </w:p>
    <w:p w:rsidR="001B2F57" w:rsidRPr="00CB751D" w:rsidRDefault="001B2F57" w:rsidP="009D484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u w:val="single"/>
        </w:rPr>
      </w:pPr>
      <w:r>
        <w:t xml:space="preserve">Fica o Serviço Autônomo Municipal de Água e Esgoto de Gaspar – SAMAE, autorizado, em assim o que querendo, apresentar no momento em que considerar oportuno, novo pedido, não de </w:t>
      </w:r>
      <w:r w:rsidRPr="00CB751D">
        <w:rPr>
          <w:b/>
          <w:u w:val="single"/>
        </w:rPr>
        <w:t>REAJUSTE</w:t>
      </w:r>
      <w:r>
        <w:t xml:space="preserve">, mas sim pedido de </w:t>
      </w:r>
      <w:r w:rsidRPr="001B2F57">
        <w:rPr>
          <w:b/>
          <w:u w:val="single"/>
        </w:rPr>
        <w:t>REVISÃO DA TARIFA E DOS SERVIÇO</w:t>
      </w:r>
      <w:r w:rsidRPr="00CB751D">
        <w:rPr>
          <w:b/>
          <w:u w:val="single"/>
        </w:rPr>
        <w:t>S</w:t>
      </w:r>
      <w:r w:rsidR="00CB751D" w:rsidRPr="00CB751D">
        <w:t>,</w:t>
      </w:r>
      <w:r w:rsidR="00CB751D" w:rsidRPr="00942E06">
        <w:t xml:space="preserve"> </w:t>
      </w:r>
      <w:r w:rsidR="00CB751D">
        <w:t xml:space="preserve">que tramitará por meio próprio e adequado, quando então o percentual ora </w:t>
      </w:r>
      <w:r w:rsidR="00E73E80">
        <w:t>indeferido poderá ser analisado e ser concedido ou não.</w:t>
      </w:r>
    </w:p>
    <w:p w:rsidR="00942E06" w:rsidRDefault="00942E06" w:rsidP="009D4845">
      <w:pPr>
        <w:spacing w:after="0" w:line="360" w:lineRule="auto"/>
        <w:ind w:firstLine="709"/>
        <w:rPr>
          <w:b/>
          <w:bCs/>
          <w:shd w:val="clear" w:color="auto" w:fill="FFFFFF"/>
        </w:rPr>
      </w:pPr>
    </w:p>
    <w:p w:rsidR="00CB751D" w:rsidRDefault="00CB751D" w:rsidP="009D4845">
      <w:pPr>
        <w:spacing w:after="0" w:line="360" w:lineRule="auto"/>
        <w:ind w:firstLine="709"/>
        <w:rPr>
          <w:b/>
          <w:bCs/>
          <w:shd w:val="clear" w:color="auto" w:fill="FFFFFF"/>
        </w:rPr>
      </w:pPr>
      <w:r w:rsidRPr="00E73E80">
        <w:rPr>
          <w:b/>
          <w:bCs/>
          <w:shd w:val="clear" w:color="auto" w:fill="FFFFFF"/>
        </w:rPr>
        <w:t>O reajuste acima autorizado, fica condicionado as seguintes medidas que deverão estar disponíveis quando do próximo pedido anual de reajuste ou de eventual revisão:</w:t>
      </w:r>
    </w:p>
    <w:p w:rsidR="00030EB4" w:rsidRPr="001147D5" w:rsidRDefault="00030EB4" w:rsidP="009D4845">
      <w:pPr>
        <w:pStyle w:val="PargrafodaLista"/>
        <w:numPr>
          <w:ilvl w:val="0"/>
          <w:numId w:val="4"/>
        </w:numPr>
        <w:spacing w:after="0" w:line="360" w:lineRule="auto"/>
        <w:jc w:val="both"/>
      </w:pPr>
      <w:r w:rsidRPr="001147D5">
        <w:t xml:space="preserve">Que o SAMAE de Gaspar apresente </w:t>
      </w:r>
      <w:r>
        <w:t>um cronograma de trabalho para início em 2017 sobre</w:t>
      </w:r>
      <w:r w:rsidRPr="001147D5">
        <w:t xml:space="preserve"> </w:t>
      </w:r>
      <w:r>
        <w:t>a</w:t>
      </w:r>
      <w:r w:rsidRPr="001147D5">
        <w:t xml:space="preserve"> depreciação dos seus ativos, haja vista, ser uma conta imprescindível para a recuperação do ativo na elaboração da tarifa com preço justo;</w:t>
      </w:r>
    </w:p>
    <w:p w:rsidR="00030EB4" w:rsidRDefault="00030EB4" w:rsidP="009D4845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80189B">
        <w:t xml:space="preserve">Que a Autarquia </w:t>
      </w:r>
      <w:r w:rsidRPr="001147D5">
        <w:t xml:space="preserve">apresente </w:t>
      </w:r>
      <w:r>
        <w:t>um cronograma de trabalho para início em 2017 sobre o registro d</w:t>
      </w:r>
      <w:r w:rsidRPr="0080189B">
        <w:t xml:space="preserve">a conta de estoque no Balanço Patrimonial e </w:t>
      </w:r>
      <w:r>
        <w:t xml:space="preserve">igualmente, para </w:t>
      </w:r>
      <w:r w:rsidRPr="0080189B">
        <w:t>desenvolv</w:t>
      </w:r>
      <w:r>
        <w:t xml:space="preserve">er </w:t>
      </w:r>
      <w:r w:rsidRPr="0080189B">
        <w:t>ações para a recuperação dos créditos em dívida ativa;</w:t>
      </w:r>
    </w:p>
    <w:p w:rsidR="00030EB4" w:rsidRPr="0080189B" w:rsidRDefault="00030EB4" w:rsidP="009D4845">
      <w:pPr>
        <w:numPr>
          <w:ilvl w:val="0"/>
          <w:numId w:val="4"/>
        </w:numPr>
        <w:suppressAutoHyphens/>
        <w:spacing w:after="0" w:line="360" w:lineRule="auto"/>
        <w:jc w:val="both"/>
      </w:pPr>
      <w:r>
        <w:lastRenderedPageBreak/>
        <w:t>Recomendar ao SAMAE de Gaspar que os dados físicos tenham melhor consistência, e quando retificados e/ou alterados sejam devidamente justificados, pois houveram casos em que foram alterados sem qualquer justificativa, o que prejudica a gestão da Autarquia e a análise por parte desta Agência;</w:t>
      </w:r>
    </w:p>
    <w:p w:rsidR="00030EB4" w:rsidRDefault="00030EB4" w:rsidP="009D4845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80189B">
        <w:t xml:space="preserve">Que o SAMAE de Gaspar, obedeça rigorosamente aos investimentos elencados </w:t>
      </w:r>
      <w:r>
        <w:t>em seu</w:t>
      </w:r>
      <w:r w:rsidRPr="0080189B">
        <w:t xml:space="preserve"> Plano Municipal de Saneamento Básico (PMSB),</w:t>
      </w:r>
      <w:r>
        <w:t xml:space="preserve"> revisado,</w:t>
      </w:r>
      <w:r w:rsidRPr="0080189B">
        <w:t xml:space="preserve"> com evidências de seu fiel cumprimento para proporcionar um próximo reajuste/revisão eficiente, e colaborem para a manutenção, sustentabilid</w:t>
      </w:r>
      <w:r>
        <w:t>ade e regularidade dos serviços ou, em sendo necessário</w:t>
      </w:r>
      <w:r w:rsidR="00C65B3E">
        <w:t>,</w:t>
      </w:r>
      <w:r>
        <w:t xml:space="preserve"> promover a alteração </w:t>
      </w:r>
      <w:r w:rsidR="00C65B3E">
        <w:t xml:space="preserve">de </w:t>
      </w:r>
      <w:r>
        <w:t>alguma meta do PMSB, mediante justificati</w:t>
      </w:r>
      <w:r w:rsidR="00942E06">
        <w:t>va a ser analisada pela Agência;</w:t>
      </w:r>
    </w:p>
    <w:p w:rsidR="00942E06" w:rsidRPr="009A0953" w:rsidRDefault="00942E06" w:rsidP="00942E06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</w:pPr>
      <w:r w:rsidRPr="009A0953">
        <w:t>A cada trimestre após a aplicação do reajuste em tela, deverá o SAMAE de Gaspar remeter para a AGIR, documentação que permita a aferição dos cronogramas e seus investimentos conforme evidenciado no ite</w:t>
      </w:r>
      <w:r>
        <w:t>m</w:t>
      </w:r>
      <w:r w:rsidRPr="009A0953">
        <w:t xml:space="preserve"> anterior, bem como documentos comprobatórios (empenhos, homologações, notas fiscais etc.) e, ainda relato dos demais itens condicionados nesta Decisão; </w:t>
      </w:r>
    </w:p>
    <w:p w:rsidR="00030EB4" w:rsidRPr="000C3A53" w:rsidRDefault="00030EB4" w:rsidP="009D4845">
      <w:pPr>
        <w:numPr>
          <w:ilvl w:val="0"/>
          <w:numId w:val="4"/>
        </w:numPr>
        <w:suppressAutoHyphens/>
        <w:spacing w:after="0" w:line="360" w:lineRule="auto"/>
        <w:ind w:left="709" w:hanging="425"/>
        <w:jc w:val="both"/>
      </w:pPr>
      <w:r w:rsidRPr="000C3A53">
        <w:t xml:space="preserve">Por fim, observe a Autarquia à necessidade de comunicação aos seus usuários de forma ampla e oficial, num período não inferior a 30 (trinta) dias, para início da cobrança do novo regime tarifário e que seja encaminhado a esta Agência cópia da nova tabela tarifária, assim como das publicações realizadas pelo Município de Gaspar/SC e pelo SAMAE de Gaspar, em observação ao disposto no Artigo 39 da Lei Federal nº 11.245/2007, que estabelece: </w:t>
      </w:r>
      <w:r w:rsidRPr="000C3A53">
        <w:rPr>
          <w:i/>
        </w:rPr>
        <w:t xml:space="preserve">“Art. 39. As tarifas serão fixadas de forma clara e objetiva, devendo os reajustes e as revisões ser tornados públicos com antecedência mínima de 30 (trinta) dias em relação à sua aplicação” </w:t>
      </w:r>
      <w:r w:rsidRPr="000C3A53">
        <w:t>(grifo nosso).</w:t>
      </w:r>
    </w:p>
    <w:p w:rsidR="00942E06" w:rsidRDefault="00942E06" w:rsidP="009D4845">
      <w:pPr>
        <w:suppressAutoHyphens/>
        <w:spacing w:after="0" w:line="360" w:lineRule="auto"/>
        <w:ind w:firstLine="720"/>
        <w:jc w:val="both"/>
      </w:pPr>
    </w:p>
    <w:p w:rsidR="00030EB4" w:rsidRPr="000C3A53" w:rsidRDefault="00030EB4" w:rsidP="009D4845">
      <w:pPr>
        <w:suppressAutoHyphens/>
        <w:spacing w:after="0" w:line="360" w:lineRule="auto"/>
        <w:ind w:firstLine="720"/>
        <w:jc w:val="both"/>
      </w:pPr>
      <w:bookmarkStart w:id="0" w:name="_GoBack"/>
      <w:bookmarkEnd w:id="0"/>
      <w:r w:rsidRPr="000C3A53">
        <w:t>Todas as exigências complementares acima serão objeto de avaliação e de análise no próximo pedido de revisão e/ou reajuste e o não atendimento e/ou cumprimento, poderá servir como redutor do índice a ser solicitado, salvo situações consensadas ou reconhecidas como não aplicáveis, após análise da AGIR.</w:t>
      </w:r>
    </w:p>
    <w:p w:rsidR="00030EB4" w:rsidRPr="000C3A53" w:rsidRDefault="00030EB4" w:rsidP="009D4845">
      <w:pPr>
        <w:suppressAutoHyphens/>
        <w:spacing w:after="0" w:line="360" w:lineRule="auto"/>
        <w:ind w:firstLine="720"/>
        <w:jc w:val="both"/>
      </w:pPr>
      <w:r w:rsidRPr="006E5A47">
        <w:rPr>
          <w:color w:val="FF0000"/>
        </w:rPr>
        <w:lastRenderedPageBreak/>
        <w:t xml:space="preserve"> </w:t>
      </w:r>
      <w:r w:rsidRPr="000C3A53">
        <w:t xml:space="preserve">Extraia-se cópia desta, bem como dos demais documentos pertinentes e, </w:t>
      </w:r>
      <w:r w:rsidRPr="000C3A53">
        <w:rPr>
          <w:bCs/>
        </w:rPr>
        <w:t>encaminhe-se para as partes</w:t>
      </w:r>
      <w:r w:rsidRPr="000C3A53">
        <w:rPr>
          <w:b/>
          <w:bCs/>
        </w:rPr>
        <w:t xml:space="preserve"> </w:t>
      </w:r>
      <w:r w:rsidRPr="000C3A53">
        <w:t>(leia-se: SAMAE-Gaspar, Executivo Municipal) para conhecimento e providências legais cabíveis.</w:t>
      </w:r>
    </w:p>
    <w:p w:rsidR="00030EB4" w:rsidRPr="000C3A53" w:rsidRDefault="00030EB4" w:rsidP="009D4845">
      <w:pPr>
        <w:suppressAutoHyphens/>
        <w:spacing w:after="0" w:line="360" w:lineRule="auto"/>
        <w:ind w:firstLine="720"/>
        <w:jc w:val="both"/>
        <w:rPr>
          <w:bCs/>
        </w:rPr>
      </w:pPr>
      <w:r w:rsidRPr="000C3A53">
        <w:rPr>
          <w:bCs/>
        </w:rPr>
        <w:t xml:space="preserve">A presente decisão entra em vigor a partir de sua publicação no Diário Oficial dos Municípios de Santa Catarina (DOM/SC), órgão oficial de publicidade da AGIR, além de também ser publicado no site da AGIR, qual seja </w:t>
      </w:r>
      <w:hyperlink r:id="rId8" w:history="1">
        <w:r w:rsidRPr="000C3A53">
          <w:rPr>
            <w:rStyle w:val="Hyperlink"/>
            <w:bCs/>
            <w:color w:val="auto"/>
          </w:rPr>
          <w:t>www.agir.sc.gov.br</w:t>
        </w:r>
      </w:hyperlink>
      <w:r w:rsidRPr="000C3A53">
        <w:rPr>
          <w:bCs/>
        </w:rPr>
        <w:t>.</w:t>
      </w:r>
    </w:p>
    <w:p w:rsidR="00030EB4" w:rsidRPr="000C3A53" w:rsidRDefault="00030EB4" w:rsidP="009D4845">
      <w:pPr>
        <w:suppressAutoHyphens/>
        <w:spacing w:after="0" w:line="360" w:lineRule="auto"/>
        <w:ind w:firstLine="720"/>
        <w:jc w:val="both"/>
        <w:rPr>
          <w:bCs/>
        </w:rPr>
      </w:pPr>
      <w:r w:rsidRPr="000C3A53">
        <w:rPr>
          <w:bCs/>
        </w:rPr>
        <w:t xml:space="preserve">Não havendo manifestação no prazo de 15 (quinze) dias, </w:t>
      </w:r>
      <w:r w:rsidRPr="000C3A53">
        <w:rPr>
          <w:b/>
          <w:bCs/>
        </w:rPr>
        <w:t>DETERMINA-SE O ARQUIVAMENTO</w:t>
      </w:r>
      <w:r w:rsidRPr="000C3A53">
        <w:rPr>
          <w:bCs/>
        </w:rPr>
        <w:t xml:space="preserve"> deste procedimento administrativo, uma vez recebidas as publicações.</w:t>
      </w:r>
    </w:p>
    <w:p w:rsidR="00030EB4" w:rsidRPr="000C3A53" w:rsidRDefault="00030EB4" w:rsidP="009D4845">
      <w:pPr>
        <w:suppressAutoHyphens/>
        <w:spacing w:after="0" w:line="360" w:lineRule="auto"/>
        <w:ind w:left="709"/>
        <w:jc w:val="both"/>
        <w:rPr>
          <w:bCs/>
        </w:rPr>
      </w:pPr>
      <w:r w:rsidRPr="000C3A53">
        <w:rPr>
          <w:bCs/>
        </w:rPr>
        <w:t>Essa a Decisão.</w:t>
      </w:r>
    </w:p>
    <w:p w:rsidR="00030EB4" w:rsidRPr="000C3A53" w:rsidRDefault="00030EB4" w:rsidP="009D4845">
      <w:pPr>
        <w:suppressAutoHyphens/>
        <w:spacing w:after="0" w:line="360" w:lineRule="auto"/>
        <w:jc w:val="right"/>
        <w:rPr>
          <w:bCs/>
        </w:rPr>
      </w:pPr>
    </w:p>
    <w:p w:rsidR="00030EB4" w:rsidRPr="000C3A53" w:rsidRDefault="00030EB4" w:rsidP="009D4845">
      <w:pPr>
        <w:suppressAutoHyphens/>
        <w:spacing w:after="0" w:line="360" w:lineRule="auto"/>
        <w:jc w:val="right"/>
        <w:rPr>
          <w:bCs/>
        </w:rPr>
      </w:pPr>
    </w:p>
    <w:p w:rsidR="00030EB4" w:rsidRPr="000C3A53" w:rsidRDefault="00030EB4" w:rsidP="009D4845">
      <w:pPr>
        <w:spacing w:after="0" w:line="360" w:lineRule="auto"/>
        <w:jc w:val="right"/>
      </w:pPr>
      <w:r w:rsidRPr="000C3A53">
        <w:t xml:space="preserve">Blumenau (SC), </w:t>
      </w:r>
      <w:r w:rsidR="00800BB2">
        <w:t xml:space="preserve">em 28 </w:t>
      </w:r>
      <w:r w:rsidRPr="000C3A53">
        <w:t>de março de 201</w:t>
      </w:r>
      <w:r w:rsidR="000C3A53">
        <w:t>7.</w:t>
      </w:r>
    </w:p>
    <w:p w:rsidR="00030EB4" w:rsidRPr="000C3A53" w:rsidRDefault="00030EB4" w:rsidP="009D4845">
      <w:pPr>
        <w:suppressAutoHyphens/>
        <w:spacing w:after="0" w:line="360" w:lineRule="auto"/>
        <w:jc w:val="both"/>
      </w:pPr>
    </w:p>
    <w:p w:rsidR="006E5A47" w:rsidRDefault="006E5A47" w:rsidP="009D4845">
      <w:pPr>
        <w:spacing w:after="0" w:line="360" w:lineRule="auto"/>
        <w:rPr>
          <w:b/>
          <w:color w:val="FF0000"/>
        </w:rPr>
      </w:pPr>
    </w:p>
    <w:p w:rsidR="00800BB2" w:rsidRDefault="00800BB2" w:rsidP="009D4845">
      <w:pPr>
        <w:spacing w:after="0" w:line="360" w:lineRule="auto"/>
        <w:rPr>
          <w:b/>
          <w:color w:val="FF0000"/>
        </w:rPr>
      </w:pPr>
    </w:p>
    <w:p w:rsidR="00800BB2" w:rsidRDefault="00800BB2" w:rsidP="009D4845">
      <w:pPr>
        <w:spacing w:after="0" w:line="360" w:lineRule="auto"/>
        <w:rPr>
          <w:b/>
          <w:color w:val="FF0000"/>
        </w:rPr>
      </w:pPr>
    </w:p>
    <w:p w:rsidR="006E5A47" w:rsidRPr="000C3A53" w:rsidRDefault="006E5A47" w:rsidP="009D4845">
      <w:pPr>
        <w:spacing w:after="0" w:line="360" w:lineRule="auto"/>
        <w:jc w:val="center"/>
        <w:rPr>
          <w:b/>
        </w:rPr>
      </w:pPr>
      <w:r w:rsidRPr="000C3A53">
        <w:rPr>
          <w:b/>
        </w:rPr>
        <w:t>HEINRICH LUIZ PASOLD</w:t>
      </w:r>
    </w:p>
    <w:p w:rsidR="006E5A47" w:rsidRPr="000C3A53" w:rsidRDefault="006E5A47" w:rsidP="009D4845">
      <w:pPr>
        <w:spacing w:after="0" w:line="360" w:lineRule="auto"/>
        <w:jc w:val="center"/>
      </w:pPr>
      <w:r w:rsidRPr="000C3A53">
        <w:t>Diretor Geral da AGIR.</w:t>
      </w:r>
    </w:p>
    <w:p w:rsidR="00AA3DD8" w:rsidRPr="000C3A53" w:rsidRDefault="00AA3DD8" w:rsidP="009D4845">
      <w:pPr>
        <w:spacing w:after="0" w:line="360" w:lineRule="auto"/>
      </w:pPr>
    </w:p>
    <w:p w:rsidR="006E5A47" w:rsidRPr="006E5A47" w:rsidRDefault="006E5A47" w:rsidP="009D4845">
      <w:pPr>
        <w:spacing w:after="0" w:line="360" w:lineRule="auto"/>
        <w:rPr>
          <w:color w:val="FF0000"/>
          <w:szCs w:val="20"/>
        </w:rPr>
      </w:pPr>
    </w:p>
    <w:p w:rsidR="00A056CD" w:rsidRPr="006E5A47" w:rsidRDefault="00AA3DD8" w:rsidP="009D4845">
      <w:pPr>
        <w:spacing w:after="0" w:line="360" w:lineRule="auto"/>
        <w:jc w:val="both"/>
        <w:rPr>
          <w:color w:val="FF0000"/>
        </w:rPr>
      </w:pPr>
      <w:r w:rsidRPr="006E5A47">
        <w:rPr>
          <w:color w:val="FF0000"/>
        </w:rPr>
        <w:t xml:space="preserve"> </w:t>
      </w:r>
    </w:p>
    <w:p w:rsidR="005D1CF4" w:rsidRPr="006E5A47" w:rsidRDefault="005D1CF4" w:rsidP="009D484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color w:val="FF0000"/>
        </w:rPr>
      </w:pPr>
    </w:p>
    <w:p w:rsidR="00DE66D7" w:rsidRPr="006E5A47" w:rsidRDefault="00DE66D7" w:rsidP="009D484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b/>
          <w:color w:val="FF0000"/>
        </w:rPr>
      </w:pPr>
    </w:p>
    <w:p w:rsidR="001A5AE3" w:rsidRPr="006E5A47" w:rsidRDefault="001A5AE3" w:rsidP="009D484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b/>
          <w:color w:val="FF0000"/>
        </w:rPr>
      </w:pPr>
    </w:p>
    <w:p w:rsidR="00527C43" w:rsidRPr="006E5A47" w:rsidRDefault="00527C43" w:rsidP="009D48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/>
          <w:color w:val="FF0000"/>
        </w:rPr>
      </w:pPr>
    </w:p>
    <w:p w:rsidR="00527C43" w:rsidRPr="006E5A47" w:rsidRDefault="00527C43" w:rsidP="009D4845">
      <w:pPr>
        <w:spacing w:after="0" w:line="360" w:lineRule="auto"/>
        <w:ind w:firstLine="851"/>
        <w:rPr>
          <w:color w:val="FF0000"/>
        </w:rPr>
      </w:pPr>
    </w:p>
    <w:sectPr w:rsidR="00527C43" w:rsidRPr="006E5A47" w:rsidSect="009D4845">
      <w:headerReference w:type="default" r:id="rId9"/>
      <w:footerReference w:type="default" r:id="rId10"/>
      <w:pgSz w:w="11906" w:h="16838" w:code="9"/>
      <w:pgMar w:top="1418" w:right="1134" w:bottom="124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CB" w:rsidRDefault="009D1ACB" w:rsidP="00325C33">
      <w:pPr>
        <w:spacing w:after="0" w:line="240" w:lineRule="auto"/>
      </w:pPr>
      <w:r>
        <w:separator/>
      </w:r>
    </w:p>
  </w:endnote>
  <w:endnote w:type="continuationSeparator" w:id="0">
    <w:p w:rsidR="009D1ACB" w:rsidRDefault="009D1ACB" w:rsidP="0032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6330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4845" w:rsidRDefault="009D4845">
        <w:pPr>
          <w:pStyle w:val="Rodap"/>
          <w:jc w:val="right"/>
          <w:rPr>
            <w:sz w:val="20"/>
            <w:szCs w:val="20"/>
          </w:rPr>
        </w:pPr>
        <w:r w:rsidRPr="009D4845">
          <w:rPr>
            <w:sz w:val="20"/>
            <w:szCs w:val="20"/>
          </w:rPr>
          <w:fldChar w:fldCharType="begin"/>
        </w:r>
        <w:r w:rsidRPr="009D4845">
          <w:rPr>
            <w:sz w:val="20"/>
            <w:szCs w:val="20"/>
          </w:rPr>
          <w:instrText>PAGE   \* MERGEFORMAT</w:instrText>
        </w:r>
        <w:r w:rsidRPr="009D4845">
          <w:rPr>
            <w:sz w:val="20"/>
            <w:szCs w:val="20"/>
          </w:rPr>
          <w:fldChar w:fldCharType="separate"/>
        </w:r>
        <w:r w:rsidR="00C97BA4">
          <w:rPr>
            <w:noProof/>
            <w:sz w:val="20"/>
            <w:szCs w:val="20"/>
          </w:rPr>
          <w:t>6</w:t>
        </w:r>
        <w:r w:rsidRPr="009D4845">
          <w:rPr>
            <w:sz w:val="20"/>
            <w:szCs w:val="20"/>
          </w:rPr>
          <w:fldChar w:fldCharType="end"/>
        </w:r>
      </w:p>
      <w:p w:rsidR="009D4845" w:rsidRDefault="009D4845">
        <w:pPr>
          <w:pStyle w:val="Rodap"/>
          <w:jc w:val="right"/>
          <w:rPr>
            <w:sz w:val="20"/>
            <w:szCs w:val="20"/>
          </w:rPr>
        </w:pPr>
        <w:r>
          <w:rPr>
            <w:noProof/>
          </w:rPr>
          <w:drawing>
            <wp:inline distT="0" distB="0" distL="0" distR="0" wp14:anchorId="3366BB55" wp14:editId="072D75C3">
              <wp:extent cx="5760085" cy="454025"/>
              <wp:effectExtent l="0" t="0" r="0" b="3175"/>
              <wp:docPr id="6" name="Imagem 6" descr="Cabeçalho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Cabeçalho0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D4845" w:rsidRPr="009D4845" w:rsidRDefault="009D4845">
        <w:pPr>
          <w:pStyle w:val="Rodap"/>
          <w:jc w:val="right"/>
          <w:rPr>
            <w:sz w:val="20"/>
            <w:szCs w:val="20"/>
          </w:rPr>
        </w:pPr>
      </w:p>
    </w:sdtContent>
  </w:sdt>
  <w:p w:rsidR="00325C33" w:rsidRDefault="00325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CB" w:rsidRDefault="009D1ACB" w:rsidP="00325C33">
      <w:pPr>
        <w:spacing w:after="0" w:line="240" w:lineRule="auto"/>
      </w:pPr>
      <w:r>
        <w:separator/>
      </w:r>
    </w:p>
  </w:footnote>
  <w:footnote w:type="continuationSeparator" w:id="0">
    <w:p w:rsidR="009D1ACB" w:rsidRDefault="009D1ACB" w:rsidP="0032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33" w:rsidRDefault="008F5F8D" w:rsidP="008F5F8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-173990</wp:posOffset>
          </wp:positionV>
          <wp:extent cx="5762625" cy="1438275"/>
          <wp:effectExtent l="0" t="0" r="9525" b="9525"/>
          <wp:wrapTopAndBottom/>
          <wp:docPr id="1" name="Imagem 0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4AF"/>
    <w:multiLevelType w:val="hybridMultilevel"/>
    <w:tmpl w:val="45BEEE04"/>
    <w:lvl w:ilvl="0" w:tplc="B40253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F5B90"/>
    <w:multiLevelType w:val="hybridMultilevel"/>
    <w:tmpl w:val="36884636"/>
    <w:lvl w:ilvl="0" w:tplc="EC4EEC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975EFB"/>
    <w:multiLevelType w:val="hybridMultilevel"/>
    <w:tmpl w:val="D8420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6D59"/>
    <w:multiLevelType w:val="hybridMultilevel"/>
    <w:tmpl w:val="53A08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6F5B"/>
    <w:multiLevelType w:val="hybridMultilevel"/>
    <w:tmpl w:val="757A6E22"/>
    <w:lvl w:ilvl="0" w:tplc="480205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5048"/>
    <w:multiLevelType w:val="hybridMultilevel"/>
    <w:tmpl w:val="F2D22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3"/>
    <w:rsid w:val="00030EB4"/>
    <w:rsid w:val="00034344"/>
    <w:rsid w:val="00044FFF"/>
    <w:rsid w:val="00046231"/>
    <w:rsid w:val="00080806"/>
    <w:rsid w:val="00094961"/>
    <w:rsid w:val="00096E97"/>
    <w:rsid w:val="000B5254"/>
    <w:rsid w:val="000C3A53"/>
    <w:rsid w:val="000C497C"/>
    <w:rsid w:val="000D2A01"/>
    <w:rsid w:val="000D5003"/>
    <w:rsid w:val="000F0EAC"/>
    <w:rsid w:val="000F2AB2"/>
    <w:rsid w:val="001017EB"/>
    <w:rsid w:val="00111D39"/>
    <w:rsid w:val="001241F9"/>
    <w:rsid w:val="00132C6B"/>
    <w:rsid w:val="00137CEE"/>
    <w:rsid w:val="00151F38"/>
    <w:rsid w:val="0016083C"/>
    <w:rsid w:val="00176E91"/>
    <w:rsid w:val="001803EB"/>
    <w:rsid w:val="00195495"/>
    <w:rsid w:val="0019703E"/>
    <w:rsid w:val="001A5AE3"/>
    <w:rsid w:val="001B2F57"/>
    <w:rsid w:val="001B4BE9"/>
    <w:rsid w:val="001C5695"/>
    <w:rsid w:val="001F25D7"/>
    <w:rsid w:val="002276ED"/>
    <w:rsid w:val="002471C9"/>
    <w:rsid w:val="002A6B8C"/>
    <w:rsid w:val="002B5085"/>
    <w:rsid w:val="002B74A2"/>
    <w:rsid w:val="002E0E1E"/>
    <w:rsid w:val="002E7FED"/>
    <w:rsid w:val="002F129E"/>
    <w:rsid w:val="00325C33"/>
    <w:rsid w:val="0035183B"/>
    <w:rsid w:val="00351F93"/>
    <w:rsid w:val="00361D01"/>
    <w:rsid w:val="003677AC"/>
    <w:rsid w:val="00377F00"/>
    <w:rsid w:val="00390B51"/>
    <w:rsid w:val="00392045"/>
    <w:rsid w:val="003948C3"/>
    <w:rsid w:val="003A4321"/>
    <w:rsid w:val="003C03F9"/>
    <w:rsid w:val="003E3C68"/>
    <w:rsid w:val="003F6F25"/>
    <w:rsid w:val="00406418"/>
    <w:rsid w:val="00426D99"/>
    <w:rsid w:val="00451909"/>
    <w:rsid w:val="004523D0"/>
    <w:rsid w:val="00455800"/>
    <w:rsid w:val="00476CC7"/>
    <w:rsid w:val="00490F3C"/>
    <w:rsid w:val="004A3A8B"/>
    <w:rsid w:val="00522BF5"/>
    <w:rsid w:val="00526B27"/>
    <w:rsid w:val="00527C43"/>
    <w:rsid w:val="00533EE3"/>
    <w:rsid w:val="005654C5"/>
    <w:rsid w:val="005748C8"/>
    <w:rsid w:val="005756E4"/>
    <w:rsid w:val="005774B1"/>
    <w:rsid w:val="005B4489"/>
    <w:rsid w:val="005D0BAF"/>
    <w:rsid w:val="005D1CF4"/>
    <w:rsid w:val="005D7F05"/>
    <w:rsid w:val="005E3093"/>
    <w:rsid w:val="005F1E9E"/>
    <w:rsid w:val="006001A2"/>
    <w:rsid w:val="00607B42"/>
    <w:rsid w:val="00634C9E"/>
    <w:rsid w:val="00640280"/>
    <w:rsid w:val="006464F0"/>
    <w:rsid w:val="00654FD1"/>
    <w:rsid w:val="0067059B"/>
    <w:rsid w:val="0067369B"/>
    <w:rsid w:val="00676526"/>
    <w:rsid w:val="006967BE"/>
    <w:rsid w:val="006B6CC7"/>
    <w:rsid w:val="006C1BFD"/>
    <w:rsid w:val="006E5A47"/>
    <w:rsid w:val="00715FC7"/>
    <w:rsid w:val="00727E48"/>
    <w:rsid w:val="00737310"/>
    <w:rsid w:val="0075334F"/>
    <w:rsid w:val="00764011"/>
    <w:rsid w:val="00764BF5"/>
    <w:rsid w:val="00784801"/>
    <w:rsid w:val="007C7A9C"/>
    <w:rsid w:val="007F32B0"/>
    <w:rsid w:val="007F6487"/>
    <w:rsid w:val="00800BB2"/>
    <w:rsid w:val="00801183"/>
    <w:rsid w:val="008056FE"/>
    <w:rsid w:val="00861B97"/>
    <w:rsid w:val="008A1DE3"/>
    <w:rsid w:val="008A2FE5"/>
    <w:rsid w:val="008A60B4"/>
    <w:rsid w:val="008E0951"/>
    <w:rsid w:val="008F5F8D"/>
    <w:rsid w:val="008F7A46"/>
    <w:rsid w:val="009106E3"/>
    <w:rsid w:val="00920194"/>
    <w:rsid w:val="009225C7"/>
    <w:rsid w:val="00922FA6"/>
    <w:rsid w:val="009230A0"/>
    <w:rsid w:val="00923978"/>
    <w:rsid w:val="00924167"/>
    <w:rsid w:val="00942E06"/>
    <w:rsid w:val="009434EB"/>
    <w:rsid w:val="00944301"/>
    <w:rsid w:val="0095353C"/>
    <w:rsid w:val="00956832"/>
    <w:rsid w:val="00991592"/>
    <w:rsid w:val="009A7B75"/>
    <w:rsid w:val="009D1ACB"/>
    <w:rsid w:val="009D26E6"/>
    <w:rsid w:val="009D4845"/>
    <w:rsid w:val="009F2AEF"/>
    <w:rsid w:val="009F6E62"/>
    <w:rsid w:val="00A056CD"/>
    <w:rsid w:val="00A05D6D"/>
    <w:rsid w:val="00A104D8"/>
    <w:rsid w:val="00A3738C"/>
    <w:rsid w:val="00A5265F"/>
    <w:rsid w:val="00A86FA3"/>
    <w:rsid w:val="00A96D35"/>
    <w:rsid w:val="00AA18B7"/>
    <w:rsid w:val="00AA3DD8"/>
    <w:rsid w:val="00AB2F17"/>
    <w:rsid w:val="00AC47AA"/>
    <w:rsid w:val="00AF3138"/>
    <w:rsid w:val="00AF5D73"/>
    <w:rsid w:val="00AF5F56"/>
    <w:rsid w:val="00B01F5C"/>
    <w:rsid w:val="00B3425B"/>
    <w:rsid w:val="00B55C95"/>
    <w:rsid w:val="00B56425"/>
    <w:rsid w:val="00B74CA7"/>
    <w:rsid w:val="00B77E3B"/>
    <w:rsid w:val="00BB1617"/>
    <w:rsid w:val="00BB7464"/>
    <w:rsid w:val="00BC5FD7"/>
    <w:rsid w:val="00BF17DD"/>
    <w:rsid w:val="00C5574F"/>
    <w:rsid w:val="00C65B3E"/>
    <w:rsid w:val="00C77F82"/>
    <w:rsid w:val="00C97010"/>
    <w:rsid w:val="00C97BA4"/>
    <w:rsid w:val="00CA46E4"/>
    <w:rsid w:val="00CB4E48"/>
    <w:rsid w:val="00CB751D"/>
    <w:rsid w:val="00CD607B"/>
    <w:rsid w:val="00CD7E5C"/>
    <w:rsid w:val="00CE69F6"/>
    <w:rsid w:val="00CF1252"/>
    <w:rsid w:val="00D370F7"/>
    <w:rsid w:val="00D501CB"/>
    <w:rsid w:val="00D57E7E"/>
    <w:rsid w:val="00D60BAE"/>
    <w:rsid w:val="00D6786A"/>
    <w:rsid w:val="00D71C3C"/>
    <w:rsid w:val="00D73EB3"/>
    <w:rsid w:val="00D813EA"/>
    <w:rsid w:val="00D94BA9"/>
    <w:rsid w:val="00D96E02"/>
    <w:rsid w:val="00DB0937"/>
    <w:rsid w:val="00DB3C76"/>
    <w:rsid w:val="00DD5B5E"/>
    <w:rsid w:val="00DE66D7"/>
    <w:rsid w:val="00DF0345"/>
    <w:rsid w:val="00E12BF6"/>
    <w:rsid w:val="00E20845"/>
    <w:rsid w:val="00E30249"/>
    <w:rsid w:val="00E3666C"/>
    <w:rsid w:val="00E45A2B"/>
    <w:rsid w:val="00E46B6D"/>
    <w:rsid w:val="00E52058"/>
    <w:rsid w:val="00E63869"/>
    <w:rsid w:val="00E73E80"/>
    <w:rsid w:val="00E76229"/>
    <w:rsid w:val="00EC21B8"/>
    <w:rsid w:val="00EE57B6"/>
    <w:rsid w:val="00EE75C7"/>
    <w:rsid w:val="00F00086"/>
    <w:rsid w:val="00F32DC3"/>
    <w:rsid w:val="00F40999"/>
    <w:rsid w:val="00F532EA"/>
    <w:rsid w:val="00F55264"/>
    <w:rsid w:val="00F579EE"/>
    <w:rsid w:val="00F66C4F"/>
    <w:rsid w:val="00F673DD"/>
    <w:rsid w:val="00F76202"/>
    <w:rsid w:val="00F80531"/>
    <w:rsid w:val="00F8226E"/>
    <w:rsid w:val="00FA2FFB"/>
    <w:rsid w:val="00FA7838"/>
    <w:rsid w:val="00FC7F73"/>
    <w:rsid w:val="00FD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E0DB62"/>
  <w15:docId w15:val="{C8F11A7A-3504-41B7-9044-010E44A1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2B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C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C33"/>
  </w:style>
  <w:style w:type="paragraph" w:styleId="Rodap">
    <w:name w:val="footer"/>
    <w:basedOn w:val="Normal"/>
    <w:link w:val="RodapChar"/>
    <w:uiPriority w:val="99"/>
    <w:unhideWhenUsed/>
    <w:rsid w:val="00325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C33"/>
  </w:style>
  <w:style w:type="paragraph" w:styleId="PargrafodaLista">
    <w:name w:val="List Paragraph"/>
    <w:basedOn w:val="Normal"/>
    <w:uiPriority w:val="34"/>
    <w:qFormat/>
    <w:rsid w:val="002E7FED"/>
    <w:pPr>
      <w:ind w:left="720"/>
      <w:contextualSpacing/>
    </w:pPr>
  </w:style>
  <w:style w:type="paragraph" w:styleId="SemEspaamento">
    <w:name w:val="No Spacing"/>
    <w:uiPriority w:val="1"/>
    <w:qFormat/>
    <w:rsid w:val="00EC21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A2FFB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semiHidden/>
    <w:unhideWhenUsed/>
    <w:rsid w:val="00FA2FFB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FFB"/>
    <w:rPr>
      <w:rFonts w:ascii="Times New Roman" w:eastAsia="Times New Roman" w:hAnsi="Times New Roman"/>
    </w:rPr>
  </w:style>
  <w:style w:type="character" w:customStyle="1" w:styleId="textexposedshow">
    <w:name w:val="text_exposed_show"/>
    <w:basedOn w:val="Fontepargpadro"/>
    <w:rsid w:val="00715FC7"/>
  </w:style>
  <w:style w:type="character" w:customStyle="1" w:styleId="apple-converted-space">
    <w:name w:val="apple-converted-space"/>
    <w:basedOn w:val="Fontepargpadro"/>
    <w:rsid w:val="00715FC7"/>
  </w:style>
  <w:style w:type="character" w:styleId="Hyperlink">
    <w:name w:val="Hyperlink"/>
    <w:basedOn w:val="Fontepargpadro"/>
    <w:uiPriority w:val="99"/>
    <w:unhideWhenUsed/>
    <w:rsid w:val="00715FC7"/>
    <w:rPr>
      <w:color w:val="0000FF"/>
      <w:u w:val="single"/>
    </w:rPr>
  </w:style>
  <w:style w:type="paragraph" w:customStyle="1" w:styleId="texto1">
    <w:name w:val="texto1"/>
    <w:basedOn w:val="Normal"/>
    <w:rsid w:val="00B56425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A43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A43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4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r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CB22-D570-484B-A560-EC0BD777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1954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vanessa.s</cp:lastModifiedBy>
  <cp:revision>13</cp:revision>
  <cp:lastPrinted>2017-03-08T17:24:00Z</cp:lastPrinted>
  <dcterms:created xsi:type="dcterms:W3CDTF">2017-03-28T19:03:00Z</dcterms:created>
  <dcterms:modified xsi:type="dcterms:W3CDTF">2017-03-29T19:50:00Z</dcterms:modified>
</cp:coreProperties>
</file>