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202" w:rsidRPr="00F65605" w:rsidRDefault="0071454C" w:rsidP="00F65605">
      <w:pPr>
        <w:rPr>
          <w:b/>
          <w:sz w:val="32"/>
          <w:szCs w:val="32"/>
        </w:rPr>
      </w:pPr>
      <w:r w:rsidRPr="00F65605">
        <w:rPr>
          <w:b/>
          <w:sz w:val="32"/>
          <w:szCs w:val="32"/>
          <w:u w:val="single"/>
        </w:rPr>
        <w:t>Procedimento Administrativo nº</w:t>
      </w:r>
      <w:r w:rsidR="00E82202" w:rsidRPr="00F65605">
        <w:rPr>
          <w:b/>
          <w:sz w:val="32"/>
          <w:szCs w:val="32"/>
          <w:u w:val="single"/>
        </w:rPr>
        <w:t xml:space="preserve"> 006/2013</w:t>
      </w:r>
    </w:p>
    <w:p w:rsidR="00E82202" w:rsidRPr="00F65605" w:rsidRDefault="00E82202" w:rsidP="00F65605">
      <w:pPr>
        <w:ind w:firstLine="709"/>
        <w:rPr>
          <w:b/>
          <w:u w:val="single"/>
        </w:rPr>
      </w:pPr>
    </w:p>
    <w:p w:rsidR="00E82202" w:rsidRPr="001A5D73" w:rsidRDefault="00E82202" w:rsidP="00F65605">
      <w:r w:rsidRPr="001A5D73">
        <w:rPr>
          <w:b/>
          <w:u w:val="single"/>
        </w:rPr>
        <w:t>OBJETO</w:t>
      </w:r>
      <w:r w:rsidRPr="001A5D73">
        <w:rPr>
          <w:b/>
        </w:rPr>
        <w:t xml:space="preserve">: </w:t>
      </w:r>
      <w:r w:rsidRPr="001A5D73">
        <w:t>Revisão tarifária para a categoria do serviço público de água e da tabela dos preços de serviços públicos prestados pelo SAMAE de Gaspar</w:t>
      </w:r>
    </w:p>
    <w:p w:rsidR="00E82202" w:rsidRPr="001A5D73" w:rsidRDefault="00E82202" w:rsidP="00F65605">
      <w:pPr>
        <w:pStyle w:val="NormalWeb"/>
        <w:spacing w:before="0" w:beforeAutospacing="0" w:after="0" w:afterAutospacing="0" w:line="360" w:lineRule="auto"/>
        <w:jc w:val="both"/>
      </w:pPr>
      <w:r w:rsidRPr="001A5D73">
        <w:rPr>
          <w:b/>
          <w:u w:val="single"/>
        </w:rPr>
        <w:t>SOLICITANTE</w:t>
      </w:r>
      <w:r w:rsidRPr="001A5D73">
        <w:rPr>
          <w:b/>
        </w:rPr>
        <w:t xml:space="preserve">: </w:t>
      </w:r>
      <w:r w:rsidRPr="001A5D73">
        <w:t>SAMAE de Gaspar.</w:t>
      </w:r>
    </w:p>
    <w:p w:rsidR="00E82202" w:rsidRPr="001A5D73" w:rsidRDefault="00E82202" w:rsidP="00F65605">
      <w:pPr>
        <w:rPr>
          <w:b/>
        </w:rPr>
      </w:pPr>
      <w:r w:rsidRPr="001A5D73">
        <w:rPr>
          <w:b/>
          <w:u w:val="single"/>
        </w:rPr>
        <w:t>INTERESSADO</w:t>
      </w:r>
      <w:r w:rsidRPr="001A5D73">
        <w:rPr>
          <w:b/>
        </w:rPr>
        <w:t xml:space="preserve"> : </w:t>
      </w:r>
      <w:r w:rsidRPr="001A5D73">
        <w:t>SAMAE e o Munícipio de Gaspar.</w:t>
      </w:r>
      <w:r w:rsidRPr="001A5D73">
        <w:rPr>
          <w:b/>
        </w:rPr>
        <w:t xml:space="preserve"> </w:t>
      </w:r>
    </w:p>
    <w:p w:rsidR="00E82202" w:rsidRDefault="00E82202" w:rsidP="00F65605">
      <w:pPr>
        <w:rPr>
          <w:b/>
          <w:sz w:val="23"/>
          <w:szCs w:val="23"/>
        </w:rPr>
      </w:pPr>
    </w:p>
    <w:p w:rsidR="00F65605" w:rsidRPr="004B5012" w:rsidRDefault="00F65605" w:rsidP="00F65605">
      <w:pPr>
        <w:jc w:val="center"/>
        <w:rPr>
          <w:b/>
          <w:i/>
          <w:sz w:val="40"/>
          <w:szCs w:val="40"/>
          <w:u w:val="single"/>
        </w:rPr>
      </w:pPr>
      <w:r w:rsidRPr="004B5012">
        <w:rPr>
          <w:b/>
          <w:i/>
          <w:sz w:val="40"/>
          <w:szCs w:val="40"/>
          <w:u w:val="single"/>
        </w:rPr>
        <w:t>DECISÃO</w:t>
      </w:r>
    </w:p>
    <w:p w:rsidR="00F65605" w:rsidRPr="001A5D73" w:rsidRDefault="00F65605" w:rsidP="00F65605">
      <w:pPr>
        <w:rPr>
          <w:b/>
          <w:sz w:val="23"/>
          <w:szCs w:val="23"/>
        </w:rPr>
      </w:pPr>
    </w:p>
    <w:p w:rsidR="00E82202" w:rsidRPr="001A5D73" w:rsidRDefault="00E82202" w:rsidP="00F65605">
      <w:pPr>
        <w:rPr>
          <w:b/>
          <w:u w:val="single"/>
        </w:rPr>
      </w:pPr>
      <w:r w:rsidRPr="001A5D73">
        <w:rPr>
          <w:b/>
          <w:u w:val="single"/>
        </w:rPr>
        <w:t>Relatório:</w:t>
      </w:r>
    </w:p>
    <w:p w:rsidR="00464D0C" w:rsidRDefault="00464D0C" w:rsidP="00E82202">
      <w:pPr>
        <w:ind w:firstLine="851"/>
        <w:jc w:val="both"/>
        <w:rPr>
          <w:b/>
        </w:rPr>
      </w:pPr>
    </w:p>
    <w:p w:rsidR="00E82202" w:rsidRPr="001A5D73" w:rsidRDefault="00E82202" w:rsidP="00E82202">
      <w:pPr>
        <w:ind w:firstLine="851"/>
        <w:jc w:val="both"/>
        <w:rPr>
          <w:b/>
        </w:rPr>
      </w:pPr>
      <w:r w:rsidRPr="001A5D73">
        <w:rPr>
          <w:b/>
        </w:rPr>
        <w:t>Do Pleito:</w:t>
      </w:r>
    </w:p>
    <w:p w:rsidR="00E82202" w:rsidRPr="001A5D73" w:rsidRDefault="00E82202" w:rsidP="00E82202">
      <w:pPr>
        <w:ind w:firstLine="851"/>
        <w:jc w:val="both"/>
      </w:pPr>
      <w:r w:rsidRPr="001A5D73">
        <w:t xml:space="preserve">O Serviço Autônomo Municipal de Água e Esgoto – SAMAE de Gaspar/SC, por intermédio do Ofício nº 4/2013 recebido em 25 de fevereiro de 2013, solicitou o reajuste da fatura de água de 6,33% a título de reposição inflacionária do Índice Nacional de Preços ao Consumidor (INPC) aplicados cumulativamente entre fevereiro/2012 a janeiro/2013, além disso, solicitou ainda 3% para garantir a execução das obras previstas no Plano Municipal de Saneamento, totalizando assim 9,63% de revisão em toda tabela de preços de água e prestação de serviços diversos. </w:t>
      </w:r>
    </w:p>
    <w:p w:rsidR="00464D0C" w:rsidRDefault="00464D0C" w:rsidP="00E82202">
      <w:pPr>
        <w:ind w:firstLine="851"/>
        <w:jc w:val="both"/>
      </w:pPr>
    </w:p>
    <w:p w:rsidR="00E82202" w:rsidRPr="001A5D73" w:rsidRDefault="00E82202" w:rsidP="00E82202">
      <w:pPr>
        <w:ind w:firstLine="851"/>
        <w:jc w:val="both"/>
      </w:pPr>
      <w:r w:rsidRPr="001A5D73">
        <w:t>Apresentou ainda, solicitação de inclusão de novos serviços, os quais serão adicionados à tabela de prestação de serviços diversos do SAMAE de Gaspar, com seus respectivos custos para a formação do preço.</w:t>
      </w:r>
    </w:p>
    <w:p w:rsidR="00E82202" w:rsidRPr="001A5D73" w:rsidRDefault="00E82202" w:rsidP="00E82202">
      <w:pPr>
        <w:ind w:firstLine="851"/>
        <w:jc w:val="both"/>
      </w:pPr>
    </w:p>
    <w:p w:rsidR="00E82202" w:rsidRPr="001A5D73" w:rsidRDefault="00E82202" w:rsidP="00E82202">
      <w:pPr>
        <w:ind w:firstLine="851"/>
        <w:jc w:val="both"/>
        <w:rPr>
          <w:b/>
        </w:rPr>
      </w:pPr>
      <w:r w:rsidRPr="001A5D73">
        <w:rPr>
          <w:b/>
        </w:rPr>
        <w:t xml:space="preserve">Da </w:t>
      </w:r>
      <w:r w:rsidR="00464D0C">
        <w:rPr>
          <w:b/>
        </w:rPr>
        <w:t>J</w:t>
      </w:r>
      <w:r w:rsidRPr="001A5D73">
        <w:rPr>
          <w:b/>
        </w:rPr>
        <w:t>ustificativa:</w:t>
      </w:r>
    </w:p>
    <w:p w:rsidR="00E82202" w:rsidRPr="001A5D73" w:rsidRDefault="00E82202" w:rsidP="00E82202">
      <w:pPr>
        <w:ind w:firstLine="851"/>
        <w:jc w:val="both"/>
      </w:pPr>
      <w:r w:rsidRPr="001A5D73">
        <w:t xml:space="preserve">Mediante os documentos apresentados, o SAMAE de Gaspar identificou como seus principais objetivos garantir a execução das obras previstas no Plano Municipal de Saneamento, além disso, ampliar capacidade de tratamento, reservação e distribuição de água potável, realizar manutenção e o investimento necessário para garantir a qualidade e a eficiência do sistema de abastecimento de água. </w:t>
      </w:r>
    </w:p>
    <w:p w:rsidR="00E82202" w:rsidRPr="001A5D73" w:rsidRDefault="00E82202" w:rsidP="00E82202">
      <w:pPr>
        <w:ind w:firstLine="851"/>
        <w:jc w:val="both"/>
      </w:pPr>
      <w:r w:rsidRPr="001A5D73">
        <w:lastRenderedPageBreak/>
        <w:t>Apresentou ainda no Ofício acima citado substituição das principais redes tronco distribuidoras de água, com relação pormenorizada das ruas atendidas no ano de 2012. Ampliou a capacidade de produção de água da ETA I de 106 para 160 l/s (litros por segundo), no final de 2011 a ETA V – Belchior foi ampliada e melhorada para atendimento daquela região e, a instalação de 08 reservatórios de 20m3 para atendimento a cotas elevadas da cidade.</w:t>
      </w:r>
    </w:p>
    <w:p w:rsidR="00E82202" w:rsidRPr="001A5D73" w:rsidRDefault="00E82202" w:rsidP="00E82202">
      <w:pPr>
        <w:ind w:firstLine="851"/>
        <w:jc w:val="both"/>
      </w:pPr>
    </w:p>
    <w:p w:rsidR="00E82202" w:rsidRPr="001A5D73" w:rsidRDefault="00E82202" w:rsidP="00E82202">
      <w:pPr>
        <w:ind w:firstLine="851"/>
        <w:jc w:val="both"/>
        <w:rPr>
          <w:b/>
        </w:rPr>
      </w:pPr>
      <w:r w:rsidRPr="001A5D73">
        <w:rPr>
          <w:b/>
        </w:rPr>
        <w:t xml:space="preserve">Da </w:t>
      </w:r>
      <w:r w:rsidR="00464D0C">
        <w:rPr>
          <w:b/>
        </w:rPr>
        <w:t>C</w:t>
      </w:r>
      <w:r w:rsidRPr="001A5D73">
        <w:rPr>
          <w:b/>
        </w:rPr>
        <w:t xml:space="preserve">omposição de </w:t>
      </w:r>
      <w:r w:rsidR="00464D0C">
        <w:rPr>
          <w:b/>
        </w:rPr>
        <w:t>V</w:t>
      </w:r>
      <w:r w:rsidRPr="001A5D73">
        <w:rPr>
          <w:b/>
        </w:rPr>
        <w:t xml:space="preserve">alores e </w:t>
      </w:r>
      <w:r w:rsidR="00464D0C">
        <w:rPr>
          <w:b/>
        </w:rPr>
        <w:t>A</w:t>
      </w:r>
      <w:r w:rsidRPr="001A5D73">
        <w:rPr>
          <w:b/>
        </w:rPr>
        <w:t>nálise:</w:t>
      </w:r>
    </w:p>
    <w:p w:rsidR="00E82202" w:rsidRPr="001A5D73" w:rsidRDefault="00E82202" w:rsidP="00E82202">
      <w:pPr>
        <w:ind w:firstLine="851"/>
        <w:jc w:val="both"/>
      </w:pPr>
      <w:r w:rsidRPr="001A5D73">
        <w:t xml:space="preserve">A autarquia apresentou tabela 1 – Evolução de indicadores de água – SAMAE Gaspar: </w:t>
      </w:r>
    </w:p>
    <w:p w:rsidR="00E82202" w:rsidRPr="001A5D73" w:rsidRDefault="00E82202" w:rsidP="00E82202">
      <w:pPr>
        <w:ind w:firstLine="851"/>
        <w:jc w:val="both"/>
      </w:pPr>
    </w:p>
    <w:tbl>
      <w:tblPr>
        <w:tblpPr w:leftFromText="141" w:rightFromText="141" w:vertAnchor="text" w:horzAnchor="margin" w:tblpY="64"/>
        <w:tblW w:w="9271" w:type="dxa"/>
        <w:tblCellMar>
          <w:left w:w="70" w:type="dxa"/>
          <w:right w:w="70" w:type="dxa"/>
        </w:tblCellMar>
        <w:tblLook w:val="04A0" w:firstRow="1" w:lastRow="0" w:firstColumn="1" w:lastColumn="0" w:noHBand="0" w:noVBand="1"/>
      </w:tblPr>
      <w:tblGrid>
        <w:gridCol w:w="2960"/>
        <w:gridCol w:w="701"/>
        <w:gridCol w:w="1122"/>
        <w:gridCol w:w="1130"/>
        <w:gridCol w:w="1243"/>
        <w:gridCol w:w="980"/>
        <w:gridCol w:w="1135"/>
      </w:tblGrid>
      <w:tr w:rsidR="00E82202" w:rsidRPr="001A5D73" w:rsidTr="00BE089B">
        <w:trPr>
          <w:trHeight w:val="299"/>
        </w:trPr>
        <w:tc>
          <w:tcPr>
            <w:tcW w:w="2960" w:type="dxa"/>
            <w:tcBorders>
              <w:top w:val="single" w:sz="4" w:space="0" w:color="auto"/>
              <w:left w:val="nil"/>
              <w:bottom w:val="single" w:sz="4" w:space="0" w:color="auto"/>
              <w:right w:val="nil"/>
            </w:tcBorders>
            <w:shd w:val="clear" w:color="000000" w:fill="D9D9D9"/>
            <w:noWrap/>
            <w:vAlign w:val="bottom"/>
            <w:hideMark/>
          </w:tcPr>
          <w:p w:rsidR="00E82202" w:rsidRPr="001A5D73" w:rsidRDefault="00E82202" w:rsidP="00BE089B">
            <w:pPr>
              <w:spacing w:line="240" w:lineRule="auto"/>
              <w:rPr>
                <w:color w:val="000000"/>
                <w:sz w:val="16"/>
                <w:szCs w:val="16"/>
              </w:rPr>
            </w:pPr>
            <w:r w:rsidRPr="001A5D73">
              <w:rPr>
                <w:color w:val="000000"/>
                <w:sz w:val="16"/>
                <w:szCs w:val="16"/>
              </w:rPr>
              <w:t>Volumes</w:t>
            </w:r>
          </w:p>
        </w:tc>
        <w:tc>
          <w:tcPr>
            <w:tcW w:w="701" w:type="dxa"/>
            <w:tcBorders>
              <w:top w:val="single" w:sz="4" w:space="0" w:color="auto"/>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center"/>
              <w:rPr>
                <w:b/>
                <w:bCs/>
                <w:color w:val="000000"/>
                <w:sz w:val="16"/>
                <w:szCs w:val="16"/>
              </w:rPr>
            </w:pPr>
            <w:r w:rsidRPr="001A5D73">
              <w:rPr>
                <w:b/>
                <w:bCs/>
                <w:color w:val="000000"/>
                <w:sz w:val="16"/>
                <w:szCs w:val="16"/>
              </w:rPr>
              <w:t>2007</w:t>
            </w:r>
          </w:p>
        </w:tc>
        <w:tc>
          <w:tcPr>
            <w:tcW w:w="1122" w:type="dxa"/>
            <w:tcBorders>
              <w:top w:val="single" w:sz="4" w:space="0" w:color="auto"/>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center"/>
              <w:rPr>
                <w:b/>
                <w:bCs/>
                <w:color w:val="000000"/>
                <w:sz w:val="16"/>
                <w:szCs w:val="16"/>
              </w:rPr>
            </w:pPr>
            <w:r w:rsidRPr="001A5D73">
              <w:rPr>
                <w:b/>
                <w:bCs/>
                <w:color w:val="000000"/>
                <w:sz w:val="16"/>
                <w:szCs w:val="16"/>
              </w:rPr>
              <w:t>2008</w:t>
            </w:r>
          </w:p>
        </w:tc>
        <w:tc>
          <w:tcPr>
            <w:tcW w:w="1130" w:type="dxa"/>
            <w:tcBorders>
              <w:top w:val="single" w:sz="4" w:space="0" w:color="auto"/>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center"/>
              <w:rPr>
                <w:b/>
                <w:bCs/>
                <w:color w:val="000000"/>
                <w:sz w:val="16"/>
                <w:szCs w:val="16"/>
              </w:rPr>
            </w:pPr>
            <w:r w:rsidRPr="001A5D73">
              <w:rPr>
                <w:b/>
                <w:bCs/>
                <w:color w:val="000000"/>
                <w:sz w:val="16"/>
                <w:szCs w:val="16"/>
              </w:rPr>
              <w:t>2009</w:t>
            </w:r>
          </w:p>
        </w:tc>
        <w:tc>
          <w:tcPr>
            <w:tcW w:w="1243" w:type="dxa"/>
            <w:tcBorders>
              <w:top w:val="single" w:sz="4" w:space="0" w:color="auto"/>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center"/>
              <w:rPr>
                <w:b/>
                <w:bCs/>
                <w:color w:val="000000"/>
                <w:sz w:val="16"/>
                <w:szCs w:val="16"/>
              </w:rPr>
            </w:pPr>
            <w:r w:rsidRPr="001A5D73">
              <w:rPr>
                <w:b/>
                <w:bCs/>
                <w:color w:val="000000"/>
                <w:sz w:val="16"/>
                <w:szCs w:val="16"/>
              </w:rPr>
              <w:t>2010</w:t>
            </w:r>
          </w:p>
        </w:tc>
        <w:tc>
          <w:tcPr>
            <w:tcW w:w="980" w:type="dxa"/>
            <w:tcBorders>
              <w:top w:val="single" w:sz="4" w:space="0" w:color="auto"/>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center"/>
              <w:rPr>
                <w:b/>
                <w:bCs/>
                <w:color w:val="000000"/>
                <w:sz w:val="16"/>
                <w:szCs w:val="16"/>
              </w:rPr>
            </w:pPr>
            <w:r w:rsidRPr="001A5D73">
              <w:rPr>
                <w:b/>
                <w:bCs/>
                <w:color w:val="000000"/>
                <w:sz w:val="16"/>
                <w:szCs w:val="16"/>
              </w:rPr>
              <w:t>2011</w:t>
            </w:r>
          </w:p>
        </w:tc>
        <w:tc>
          <w:tcPr>
            <w:tcW w:w="1135" w:type="dxa"/>
            <w:tcBorders>
              <w:top w:val="single" w:sz="4" w:space="0" w:color="auto"/>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center"/>
              <w:rPr>
                <w:b/>
                <w:bCs/>
                <w:color w:val="000000"/>
                <w:sz w:val="16"/>
                <w:szCs w:val="16"/>
              </w:rPr>
            </w:pPr>
            <w:r w:rsidRPr="001A5D73">
              <w:rPr>
                <w:b/>
                <w:bCs/>
                <w:color w:val="000000"/>
                <w:sz w:val="16"/>
                <w:szCs w:val="16"/>
              </w:rPr>
              <w:t>2012</w:t>
            </w:r>
          </w:p>
        </w:tc>
      </w:tr>
      <w:tr w:rsidR="00E82202" w:rsidRPr="001A5D73" w:rsidTr="00BE089B">
        <w:trPr>
          <w:trHeight w:val="299"/>
        </w:trPr>
        <w:tc>
          <w:tcPr>
            <w:tcW w:w="2960" w:type="dxa"/>
            <w:tcBorders>
              <w:top w:val="nil"/>
              <w:left w:val="nil"/>
              <w:bottom w:val="nil"/>
              <w:right w:val="nil"/>
            </w:tcBorders>
            <w:shd w:val="clear" w:color="auto" w:fill="auto"/>
            <w:noWrap/>
            <w:vAlign w:val="bottom"/>
            <w:hideMark/>
          </w:tcPr>
          <w:p w:rsidR="00E82202" w:rsidRPr="001A5D73" w:rsidRDefault="00E82202" w:rsidP="00BE089B">
            <w:pPr>
              <w:spacing w:line="240" w:lineRule="auto"/>
              <w:rPr>
                <w:color w:val="000000"/>
                <w:sz w:val="16"/>
                <w:szCs w:val="16"/>
              </w:rPr>
            </w:pPr>
            <w:r w:rsidRPr="001A5D73">
              <w:rPr>
                <w:color w:val="000000"/>
                <w:sz w:val="16"/>
                <w:szCs w:val="16"/>
              </w:rPr>
              <w:t>Volume Tratado (1000 m3/ano)</w:t>
            </w:r>
          </w:p>
        </w:tc>
        <w:tc>
          <w:tcPr>
            <w:tcW w:w="701"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3.567,00 </w:t>
            </w:r>
          </w:p>
        </w:tc>
        <w:tc>
          <w:tcPr>
            <w:tcW w:w="1122"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3.497,00 </w:t>
            </w:r>
          </w:p>
        </w:tc>
        <w:tc>
          <w:tcPr>
            <w:tcW w:w="1130"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3.704,25 </w:t>
            </w:r>
          </w:p>
        </w:tc>
        <w:tc>
          <w:tcPr>
            <w:tcW w:w="1243"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3.716,60 </w:t>
            </w:r>
          </w:p>
        </w:tc>
        <w:tc>
          <w:tcPr>
            <w:tcW w:w="980"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3.757,67 </w:t>
            </w:r>
          </w:p>
        </w:tc>
        <w:tc>
          <w:tcPr>
            <w:tcW w:w="1135"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4.433,32 </w:t>
            </w:r>
          </w:p>
        </w:tc>
      </w:tr>
      <w:tr w:rsidR="00E82202" w:rsidRPr="001A5D73" w:rsidTr="00BE089B">
        <w:trPr>
          <w:trHeight w:val="299"/>
        </w:trPr>
        <w:tc>
          <w:tcPr>
            <w:tcW w:w="2960" w:type="dxa"/>
            <w:tcBorders>
              <w:top w:val="nil"/>
              <w:left w:val="nil"/>
              <w:bottom w:val="nil"/>
              <w:right w:val="nil"/>
            </w:tcBorders>
            <w:shd w:val="clear" w:color="auto" w:fill="auto"/>
            <w:noWrap/>
            <w:vAlign w:val="bottom"/>
            <w:hideMark/>
          </w:tcPr>
          <w:p w:rsidR="00E82202" w:rsidRPr="001A5D73" w:rsidRDefault="00E82202" w:rsidP="00BE089B">
            <w:pPr>
              <w:spacing w:line="240" w:lineRule="auto"/>
              <w:rPr>
                <w:color w:val="000000"/>
                <w:sz w:val="16"/>
                <w:szCs w:val="16"/>
              </w:rPr>
            </w:pPr>
            <w:r w:rsidRPr="001A5D73">
              <w:rPr>
                <w:color w:val="000000"/>
                <w:sz w:val="16"/>
                <w:szCs w:val="16"/>
              </w:rPr>
              <w:t>Volume Micromedido (1000 m3/ano)</w:t>
            </w:r>
          </w:p>
        </w:tc>
        <w:tc>
          <w:tcPr>
            <w:tcW w:w="701"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2.391,00 </w:t>
            </w:r>
          </w:p>
        </w:tc>
        <w:tc>
          <w:tcPr>
            <w:tcW w:w="1122"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2.844,00 </w:t>
            </w:r>
          </w:p>
        </w:tc>
        <w:tc>
          <w:tcPr>
            <w:tcW w:w="1130"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3.177,86 </w:t>
            </w:r>
          </w:p>
        </w:tc>
        <w:tc>
          <w:tcPr>
            <w:tcW w:w="1243"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3.027,90 </w:t>
            </w:r>
          </w:p>
        </w:tc>
        <w:tc>
          <w:tcPr>
            <w:tcW w:w="980"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2.872,12 </w:t>
            </w:r>
          </w:p>
        </w:tc>
        <w:tc>
          <w:tcPr>
            <w:tcW w:w="1135"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3.074,58 </w:t>
            </w:r>
          </w:p>
        </w:tc>
      </w:tr>
      <w:tr w:rsidR="00E82202" w:rsidRPr="001A5D73" w:rsidTr="00BE089B">
        <w:trPr>
          <w:trHeight w:val="299"/>
        </w:trPr>
        <w:tc>
          <w:tcPr>
            <w:tcW w:w="2960" w:type="dxa"/>
            <w:tcBorders>
              <w:top w:val="nil"/>
              <w:left w:val="nil"/>
              <w:bottom w:val="single" w:sz="4" w:space="0" w:color="auto"/>
              <w:right w:val="nil"/>
            </w:tcBorders>
            <w:shd w:val="clear" w:color="auto" w:fill="auto"/>
            <w:noWrap/>
            <w:vAlign w:val="bottom"/>
            <w:hideMark/>
          </w:tcPr>
          <w:p w:rsidR="00E82202" w:rsidRPr="001A5D73" w:rsidRDefault="00E82202" w:rsidP="00BE089B">
            <w:pPr>
              <w:spacing w:line="240" w:lineRule="auto"/>
              <w:rPr>
                <w:color w:val="000000"/>
                <w:sz w:val="16"/>
                <w:szCs w:val="16"/>
              </w:rPr>
            </w:pPr>
            <w:r w:rsidRPr="001A5D73">
              <w:rPr>
                <w:color w:val="000000"/>
                <w:sz w:val="16"/>
                <w:szCs w:val="16"/>
              </w:rPr>
              <w:t>Volume Faturado (1000 m3/ano)</w:t>
            </w:r>
          </w:p>
        </w:tc>
        <w:tc>
          <w:tcPr>
            <w:tcW w:w="701" w:type="dxa"/>
            <w:tcBorders>
              <w:top w:val="nil"/>
              <w:left w:val="nil"/>
              <w:bottom w:val="single" w:sz="4" w:space="0" w:color="auto"/>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2.734,00 </w:t>
            </w:r>
          </w:p>
        </w:tc>
        <w:tc>
          <w:tcPr>
            <w:tcW w:w="1122" w:type="dxa"/>
            <w:tcBorders>
              <w:top w:val="nil"/>
              <w:left w:val="nil"/>
              <w:bottom w:val="single" w:sz="4" w:space="0" w:color="auto"/>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3.255,00 </w:t>
            </w:r>
          </w:p>
        </w:tc>
        <w:tc>
          <w:tcPr>
            <w:tcW w:w="1130" w:type="dxa"/>
            <w:tcBorders>
              <w:top w:val="nil"/>
              <w:left w:val="nil"/>
              <w:bottom w:val="single" w:sz="4" w:space="0" w:color="auto"/>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3.441,07 </w:t>
            </w:r>
          </w:p>
        </w:tc>
        <w:tc>
          <w:tcPr>
            <w:tcW w:w="1243" w:type="dxa"/>
            <w:tcBorders>
              <w:top w:val="nil"/>
              <w:left w:val="nil"/>
              <w:bottom w:val="single" w:sz="4" w:space="0" w:color="auto"/>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3.370,20 </w:t>
            </w:r>
          </w:p>
        </w:tc>
        <w:tc>
          <w:tcPr>
            <w:tcW w:w="980" w:type="dxa"/>
            <w:tcBorders>
              <w:top w:val="nil"/>
              <w:left w:val="nil"/>
              <w:bottom w:val="single" w:sz="4" w:space="0" w:color="auto"/>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3.145,51 </w:t>
            </w:r>
          </w:p>
        </w:tc>
        <w:tc>
          <w:tcPr>
            <w:tcW w:w="1135" w:type="dxa"/>
            <w:tcBorders>
              <w:top w:val="nil"/>
              <w:left w:val="nil"/>
              <w:bottom w:val="single" w:sz="4" w:space="0" w:color="auto"/>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3.429,98 </w:t>
            </w:r>
          </w:p>
        </w:tc>
      </w:tr>
      <w:tr w:rsidR="00E82202" w:rsidRPr="001A5D73" w:rsidTr="00BE089B">
        <w:trPr>
          <w:trHeight w:val="299"/>
        </w:trPr>
        <w:tc>
          <w:tcPr>
            <w:tcW w:w="2960" w:type="dxa"/>
            <w:tcBorders>
              <w:top w:val="nil"/>
              <w:left w:val="nil"/>
              <w:bottom w:val="nil"/>
              <w:right w:val="nil"/>
            </w:tcBorders>
            <w:shd w:val="clear" w:color="auto" w:fill="auto"/>
            <w:noWrap/>
            <w:vAlign w:val="bottom"/>
            <w:hideMark/>
          </w:tcPr>
          <w:p w:rsidR="00E82202" w:rsidRPr="001A5D73" w:rsidRDefault="00E82202" w:rsidP="00BE089B">
            <w:pPr>
              <w:spacing w:line="240" w:lineRule="auto"/>
              <w:rPr>
                <w:color w:val="000000"/>
                <w:sz w:val="16"/>
                <w:szCs w:val="16"/>
              </w:rPr>
            </w:pPr>
            <w:r w:rsidRPr="001A5D73">
              <w:rPr>
                <w:color w:val="000000"/>
                <w:sz w:val="16"/>
                <w:szCs w:val="16"/>
              </w:rPr>
              <w:t xml:space="preserve"> Tarifa Água </w:t>
            </w:r>
          </w:p>
        </w:tc>
        <w:tc>
          <w:tcPr>
            <w:tcW w:w="701" w:type="dxa"/>
            <w:tcBorders>
              <w:top w:val="nil"/>
              <w:left w:val="nil"/>
              <w:bottom w:val="nil"/>
              <w:right w:val="nil"/>
            </w:tcBorders>
            <w:shd w:val="clear" w:color="auto" w:fill="auto"/>
            <w:noWrap/>
            <w:vAlign w:val="bottom"/>
            <w:hideMark/>
          </w:tcPr>
          <w:p w:rsidR="00E82202" w:rsidRPr="001A5D73" w:rsidRDefault="00E82202" w:rsidP="00BE089B">
            <w:pPr>
              <w:spacing w:line="240" w:lineRule="auto"/>
              <w:rPr>
                <w:color w:val="000000"/>
                <w:sz w:val="16"/>
                <w:szCs w:val="16"/>
              </w:rPr>
            </w:pPr>
          </w:p>
        </w:tc>
        <w:tc>
          <w:tcPr>
            <w:tcW w:w="1122"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5.985.317,15 </w:t>
            </w:r>
          </w:p>
        </w:tc>
        <w:tc>
          <w:tcPr>
            <w:tcW w:w="1130"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6.576.205,60 </w:t>
            </w:r>
          </w:p>
        </w:tc>
        <w:tc>
          <w:tcPr>
            <w:tcW w:w="1243"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7.601.315,04 </w:t>
            </w:r>
          </w:p>
        </w:tc>
        <w:tc>
          <w:tcPr>
            <w:tcW w:w="980"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8.087.360,58 </w:t>
            </w:r>
          </w:p>
        </w:tc>
        <w:tc>
          <w:tcPr>
            <w:tcW w:w="1135" w:type="dxa"/>
            <w:tcBorders>
              <w:top w:val="nil"/>
              <w:left w:val="nil"/>
              <w:bottom w:val="nil"/>
              <w:right w:val="nil"/>
            </w:tcBorders>
            <w:shd w:val="clear" w:color="auto" w:fill="auto"/>
            <w:noWrap/>
            <w:vAlign w:val="bottom"/>
            <w:hideMark/>
          </w:tcPr>
          <w:p w:rsidR="00E82202" w:rsidRPr="001A5D73" w:rsidRDefault="00E82202" w:rsidP="00BE089B">
            <w:pPr>
              <w:spacing w:line="240" w:lineRule="auto"/>
              <w:jc w:val="right"/>
              <w:rPr>
                <w:color w:val="000000"/>
                <w:sz w:val="16"/>
                <w:szCs w:val="16"/>
              </w:rPr>
            </w:pPr>
            <w:r w:rsidRPr="001A5D73">
              <w:rPr>
                <w:color w:val="000000"/>
                <w:sz w:val="16"/>
                <w:szCs w:val="16"/>
              </w:rPr>
              <w:t xml:space="preserve">   9.021.182,75 </w:t>
            </w:r>
          </w:p>
        </w:tc>
      </w:tr>
      <w:tr w:rsidR="00E82202" w:rsidRPr="001A5D73" w:rsidTr="00BE089B">
        <w:trPr>
          <w:trHeight w:val="299"/>
        </w:trPr>
        <w:tc>
          <w:tcPr>
            <w:tcW w:w="2960" w:type="dxa"/>
            <w:tcBorders>
              <w:top w:val="single" w:sz="4" w:space="0" w:color="auto"/>
              <w:left w:val="nil"/>
              <w:bottom w:val="nil"/>
              <w:right w:val="nil"/>
            </w:tcBorders>
            <w:shd w:val="clear" w:color="000000" w:fill="D9D9D9"/>
            <w:noWrap/>
            <w:vAlign w:val="bottom"/>
            <w:hideMark/>
          </w:tcPr>
          <w:p w:rsidR="00E82202" w:rsidRPr="001A5D73" w:rsidRDefault="00E82202" w:rsidP="00BE089B">
            <w:pPr>
              <w:spacing w:line="240" w:lineRule="auto"/>
              <w:rPr>
                <w:b/>
                <w:bCs/>
                <w:color w:val="000000"/>
                <w:sz w:val="16"/>
                <w:szCs w:val="16"/>
              </w:rPr>
            </w:pPr>
            <w:r w:rsidRPr="001A5D73">
              <w:rPr>
                <w:b/>
                <w:bCs/>
                <w:color w:val="000000"/>
                <w:sz w:val="16"/>
                <w:szCs w:val="16"/>
              </w:rPr>
              <w:t>Tratado/Micromedido</w:t>
            </w:r>
          </w:p>
        </w:tc>
        <w:tc>
          <w:tcPr>
            <w:tcW w:w="701" w:type="dxa"/>
            <w:tcBorders>
              <w:top w:val="single" w:sz="4" w:space="0" w:color="auto"/>
              <w:left w:val="nil"/>
              <w:bottom w:val="nil"/>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67,03</w:t>
            </w:r>
          </w:p>
        </w:tc>
        <w:tc>
          <w:tcPr>
            <w:tcW w:w="1122" w:type="dxa"/>
            <w:tcBorders>
              <w:top w:val="single" w:sz="4" w:space="0" w:color="auto"/>
              <w:left w:val="nil"/>
              <w:bottom w:val="nil"/>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81,33</w:t>
            </w:r>
          </w:p>
        </w:tc>
        <w:tc>
          <w:tcPr>
            <w:tcW w:w="1130" w:type="dxa"/>
            <w:tcBorders>
              <w:top w:val="single" w:sz="4" w:space="0" w:color="auto"/>
              <w:left w:val="nil"/>
              <w:bottom w:val="nil"/>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85,79</w:t>
            </w:r>
          </w:p>
        </w:tc>
        <w:tc>
          <w:tcPr>
            <w:tcW w:w="1243" w:type="dxa"/>
            <w:tcBorders>
              <w:top w:val="single" w:sz="4" w:space="0" w:color="auto"/>
              <w:left w:val="nil"/>
              <w:bottom w:val="nil"/>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81,47</w:t>
            </w:r>
          </w:p>
        </w:tc>
        <w:tc>
          <w:tcPr>
            <w:tcW w:w="980" w:type="dxa"/>
            <w:tcBorders>
              <w:top w:val="single" w:sz="4" w:space="0" w:color="auto"/>
              <w:left w:val="nil"/>
              <w:bottom w:val="nil"/>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76,43</w:t>
            </w:r>
          </w:p>
        </w:tc>
        <w:tc>
          <w:tcPr>
            <w:tcW w:w="1135" w:type="dxa"/>
            <w:tcBorders>
              <w:top w:val="single" w:sz="4" w:space="0" w:color="auto"/>
              <w:left w:val="nil"/>
              <w:bottom w:val="nil"/>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69,35</w:t>
            </w:r>
          </w:p>
        </w:tc>
      </w:tr>
      <w:tr w:rsidR="00E82202" w:rsidRPr="001A5D73" w:rsidTr="00BE089B">
        <w:trPr>
          <w:trHeight w:val="299"/>
        </w:trPr>
        <w:tc>
          <w:tcPr>
            <w:tcW w:w="2960" w:type="dxa"/>
            <w:tcBorders>
              <w:top w:val="nil"/>
              <w:left w:val="nil"/>
              <w:bottom w:val="single" w:sz="4" w:space="0" w:color="auto"/>
              <w:right w:val="nil"/>
            </w:tcBorders>
            <w:shd w:val="clear" w:color="000000" w:fill="D9D9D9"/>
            <w:noWrap/>
            <w:vAlign w:val="bottom"/>
            <w:hideMark/>
          </w:tcPr>
          <w:p w:rsidR="00E82202" w:rsidRPr="001A5D73" w:rsidRDefault="00E82202" w:rsidP="00BE089B">
            <w:pPr>
              <w:spacing w:line="240" w:lineRule="auto"/>
              <w:rPr>
                <w:b/>
                <w:bCs/>
                <w:color w:val="000000"/>
                <w:sz w:val="16"/>
                <w:szCs w:val="16"/>
              </w:rPr>
            </w:pPr>
            <w:r w:rsidRPr="001A5D73">
              <w:rPr>
                <w:b/>
                <w:bCs/>
                <w:color w:val="000000"/>
                <w:sz w:val="16"/>
                <w:szCs w:val="16"/>
              </w:rPr>
              <w:t>Tratado/Faturado</w:t>
            </w:r>
          </w:p>
        </w:tc>
        <w:tc>
          <w:tcPr>
            <w:tcW w:w="701" w:type="dxa"/>
            <w:tcBorders>
              <w:top w:val="nil"/>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76,65</w:t>
            </w:r>
          </w:p>
        </w:tc>
        <w:tc>
          <w:tcPr>
            <w:tcW w:w="1122" w:type="dxa"/>
            <w:tcBorders>
              <w:top w:val="nil"/>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93,08</w:t>
            </w:r>
          </w:p>
        </w:tc>
        <w:tc>
          <w:tcPr>
            <w:tcW w:w="1130" w:type="dxa"/>
            <w:tcBorders>
              <w:top w:val="nil"/>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92,90</w:t>
            </w:r>
          </w:p>
        </w:tc>
        <w:tc>
          <w:tcPr>
            <w:tcW w:w="1243" w:type="dxa"/>
            <w:tcBorders>
              <w:top w:val="nil"/>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90,68</w:t>
            </w:r>
          </w:p>
        </w:tc>
        <w:tc>
          <w:tcPr>
            <w:tcW w:w="980" w:type="dxa"/>
            <w:tcBorders>
              <w:top w:val="nil"/>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83,71</w:t>
            </w:r>
          </w:p>
        </w:tc>
        <w:tc>
          <w:tcPr>
            <w:tcW w:w="1135" w:type="dxa"/>
            <w:tcBorders>
              <w:top w:val="nil"/>
              <w:left w:val="nil"/>
              <w:bottom w:val="single" w:sz="4" w:space="0" w:color="auto"/>
              <w:right w:val="nil"/>
            </w:tcBorders>
            <w:shd w:val="clear" w:color="000000" w:fill="D9D9D9"/>
            <w:noWrap/>
            <w:vAlign w:val="bottom"/>
            <w:hideMark/>
          </w:tcPr>
          <w:p w:rsidR="00E82202" w:rsidRPr="001A5D73" w:rsidRDefault="00E82202" w:rsidP="00BE089B">
            <w:pPr>
              <w:spacing w:line="240" w:lineRule="auto"/>
              <w:jc w:val="right"/>
              <w:rPr>
                <w:b/>
                <w:bCs/>
                <w:color w:val="000000"/>
                <w:sz w:val="16"/>
                <w:szCs w:val="16"/>
              </w:rPr>
            </w:pPr>
            <w:r w:rsidRPr="001A5D73">
              <w:rPr>
                <w:b/>
                <w:bCs/>
                <w:color w:val="000000"/>
                <w:sz w:val="16"/>
                <w:szCs w:val="16"/>
              </w:rPr>
              <w:t>77,37</w:t>
            </w:r>
          </w:p>
        </w:tc>
      </w:tr>
    </w:tbl>
    <w:p w:rsidR="00E82202" w:rsidRPr="001A5D73" w:rsidRDefault="00E82202" w:rsidP="00E82202">
      <w:pPr>
        <w:ind w:firstLine="851"/>
        <w:jc w:val="both"/>
      </w:pPr>
    </w:p>
    <w:p w:rsidR="00E82202" w:rsidRPr="001A5D73" w:rsidRDefault="00E82202" w:rsidP="00E82202">
      <w:pPr>
        <w:ind w:firstLine="851"/>
        <w:jc w:val="both"/>
      </w:pPr>
      <w:r w:rsidRPr="001A5D73">
        <w:t>A Agência verificou que os volumes de água tratada, micromedido e faturado geravam distorções significativas no ano de 2012. Avisada de tal distorção quando da visita em loco (reunião na sede do SAMAE de Gaspar em 14 de março de 2013), a Autarquia prontamente acatou a distorção, verificou seus procedimentos internos com base em seu software utilizado e posteriormente remeteu</w:t>
      </w:r>
      <w:r w:rsidR="001D08BE">
        <w:t xml:space="preserve"> os dados corrigidos por e-mail (parte integrante do procedimento administrativo em tela)</w:t>
      </w:r>
      <w:r w:rsidRPr="001A5D73">
        <w:t>. A tabela supracitada já se apresenta ajustada.</w:t>
      </w:r>
    </w:p>
    <w:p w:rsidR="00464D0C" w:rsidRDefault="00464D0C" w:rsidP="00E82202">
      <w:pPr>
        <w:ind w:firstLine="851"/>
        <w:jc w:val="both"/>
      </w:pPr>
    </w:p>
    <w:p w:rsidR="00E82202" w:rsidRPr="001A5D73" w:rsidRDefault="00E82202" w:rsidP="00E82202">
      <w:pPr>
        <w:ind w:firstLine="851"/>
        <w:jc w:val="both"/>
      </w:pPr>
      <w:r w:rsidRPr="001A5D73">
        <w:t>Desta forma apresentamos gráfico que demonstra evolução de metros cúbicos (em mil) por ano sendo ano 1= 2007 a ano 6= 2012:</w:t>
      </w:r>
    </w:p>
    <w:p w:rsidR="00E82202" w:rsidRPr="001A5D73" w:rsidRDefault="00E82202" w:rsidP="00E82202">
      <w:pPr>
        <w:ind w:firstLine="851"/>
        <w:jc w:val="both"/>
      </w:pPr>
      <w:r w:rsidRPr="001A5D73">
        <w:t xml:space="preserve"> </w:t>
      </w:r>
    </w:p>
    <w:p w:rsidR="00E82202" w:rsidRPr="001A5D73" w:rsidRDefault="00E82202" w:rsidP="00E82202">
      <w:pPr>
        <w:jc w:val="center"/>
      </w:pPr>
      <w:r w:rsidRPr="001A5D73">
        <w:rPr>
          <w:noProof/>
        </w:rPr>
        <w:lastRenderedPageBreak/>
        <w:drawing>
          <wp:inline distT="0" distB="0" distL="0" distR="0" wp14:anchorId="2C7D5118" wp14:editId="5E9CC2A2">
            <wp:extent cx="5772647" cy="2186609"/>
            <wp:effectExtent l="0" t="0" r="19050" b="2349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2202" w:rsidRPr="001A5D73" w:rsidRDefault="00E82202" w:rsidP="00E82202">
      <w:pPr>
        <w:ind w:firstLine="851"/>
        <w:jc w:val="both"/>
      </w:pPr>
    </w:p>
    <w:p w:rsidR="00E82202" w:rsidRPr="001A5D73" w:rsidRDefault="00E82202" w:rsidP="00E82202">
      <w:pPr>
        <w:ind w:firstLine="851"/>
        <w:jc w:val="both"/>
      </w:pPr>
      <w:r w:rsidRPr="001A5D73">
        <w:t>O gráfico apresenta uma involução no ano 05, para os volumes micromedido e faturado em relação ao volume tratado, que foi rapidamente recuperada no ano 06, mas não a ponto de acompanhar o volume tratado. Este fenômeno estatístico se deve, segundo explicações da própria autarquia, pela ativação da ETA V no Belchior que estava até então sem operação, devido à calamidade de 2008, desta forma, com a ativação desta estação aumentou a oferta de água tratada.</w:t>
      </w:r>
    </w:p>
    <w:p w:rsidR="00464D0C" w:rsidRDefault="00464D0C" w:rsidP="00E82202">
      <w:pPr>
        <w:ind w:firstLine="851"/>
        <w:jc w:val="both"/>
      </w:pPr>
    </w:p>
    <w:p w:rsidR="00E82202" w:rsidRPr="001A5D73" w:rsidRDefault="00E82202" w:rsidP="00E82202">
      <w:pPr>
        <w:ind w:firstLine="851"/>
        <w:jc w:val="both"/>
      </w:pPr>
      <w:r w:rsidRPr="001A5D73">
        <w:t>A seguir na tabela 2 – Relação das despesas relevantes na prestação do serviço de abastecimento de água pelo SAMAE – Gaspar:</w:t>
      </w:r>
    </w:p>
    <w:p w:rsidR="00E82202" w:rsidRPr="001A5D73" w:rsidRDefault="00E82202" w:rsidP="00E82202">
      <w:pPr>
        <w:ind w:firstLine="851"/>
        <w:jc w:val="both"/>
      </w:pPr>
    </w:p>
    <w:tbl>
      <w:tblPr>
        <w:tblStyle w:val="SombreamentoClaro-nfase5"/>
        <w:tblW w:w="9304" w:type="dxa"/>
        <w:tblLook w:val="04A0" w:firstRow="1" w:lastRow="0" w:firstColumn="1" w:lastColumn="0" w:noHBand="0" w:noVBand="1"/>
      </w:tblPr>
      <w:tblGrid>
        <w:gridCol w:w="4361"/>
        <w:gridCol w:w="1183"/>
        <w:gridCol w:w="1183"/>
        <w:gridCol w:w="1183"/>
        <w:gridCol w:w="1394"/>
      </w:tblGrid>
      <w:tr w:rsidR="00E82202" w:rsidRPr="001A5D73" w:rsidTr="00BE089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jc w:val="center"/>
              <w:rPr>
                <w:b w:val="0"/>
                <w:bCs w:val="0"/>
                <w:color w:val="000000"/>
                <w:sz w:val="18"/>
                <w:szCs w:val="18"/>
              </w:rPr>
            </w:pPr>
            <w:r w:rsidRPr="001A5D73">
              <w:rPr>
                <w:color w:val="000000"/>
                <w:sz w:val="18"/>
                <w:szCs w:val="18"/>
              </w:rPr>
              <w:t>DESPESAS</w:t>
            </w:r>
          </w:p>
        </w:tc>
        <w:tc>
          <w:tcPr>
            <w:tcW w:w="1183" w:type="dxa"/>
            <w:noWrap/>
            <w:hideMark/>
          </w:tcPr>
          <w:p w:rsidR="00E82202" w:rsidRPr="001A5D73" w:rsidRDefault="00E82202" w:rsidP="00BE089B">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1A5D73">
              <w:rPr>
                <w:color w:val="000000"/>
                <w:sz w:val="18"/>
                <w:szCs w:val="18"/>
              </w:rPr>
              <w:t>2009</w:t>
            </w:r>
          </w:p>
        </w:tc>
        <w:tc>
          <w:tcPr>
            <w:tcW w:w="1183" w:type="dxa"/>
            <w:noWrap/>
            <w:hideMark/>
          </w:tcPr>
          <w:p w:rsidR="00E82202" w:rsidRPr="001A5D73" w:rsidRDefault="00E82202" w:rsidP="00BE089B">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1A5D73">
              <w:rPr>
                <w:color w:val="000000"/>
                <w:sz w:val="18"/>
                <w:szCs w:val="18"/>
              </w:rPr>
              <w:t>2010</w:t>
            </w:r>
          </w:p>
        </w:tc>
        <w:tc>
          <w:tcPr>
            <w:tcW w:w="1183" w:type="dxa"/>
            <w:noWrap/>
            <w:hideMark/>
          </w:tcPr>
          <w:p w:rsidR="00E82202" w:rsidRPr="001A5D73" w:rsidRDefault="00E82202" w:rsidP="00BE089B">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1A5D73">
              <w:rPr>
                <w:color w:val="000000"/>
                <w:sz w:val="18"/>
                <w:szCs w:val="18"/>
              </w:rPr>
              <w:t>2011</w:t>
            </w:r>
          </w:p>
        </w:tc>
        <w:tc>
          <w:tcPr>
            <w:tcW w:w="1394" w:type="dxa"/>
            <w:noWrap/>
            <w:hideMark/>
          </w:tcPr>
          <w:p w:rsidR="00E82202" w:rsidRPr="001A5D73" w:rsidRDefault="00E82202" w:rsidP="00BE089B">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1A5D73">
              <w:rPr>
                <w:color w:val="000000"/>
                <w:sz w:val="18"/>
                <w:szCs w:val="18"/>
              </w:rPr>
              <w:t>2012</w:t>
            </w:r>
          </w:p>
        </w:tc>
      </w:tr>
      <w:tr w:rsidR="00E82202" w:rsidRPr="001A5D73" w:rsidTr="00BE089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Folha</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3.032.892,86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3.476.217,89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3.848.151,55 </w:t>
            </w:r>
          </w:p>
        </w:tc>
        <w:tc>
          <w:tcPr>
            <w:tcW w:w="1394"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4.257.342,38 </w:t>
            </w:r>
          </w:p>
        </w:tc>
      </w:tr>
      <w:tr w:rsidR="00E82202" w:rsidRPr="001A5D73" w:rsidTr="00BE089B">
        <w:trPr>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Energia</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591.276,33 </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790.975,75 </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843.678,79 </w:t>
            </w:r>
          </w:p>
        </w:tc>
        <w:tc>
          <w:tcPr>
            <w:tcW w:w="1394"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706.430,34 </w:t>
            </w:r>
          </w:p>
        </w:tc>
      </w:tr>
      <w:tr w:rsidR="00E82202" w:rsidRPr="001A5D73" w:rsidTr="00BE089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Combustível</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135.340,77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132.274,29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126.179,03 </w:t>
            </w:r>
          </w:p>
        </w:tc>
        <w:tc>
          <w:tcPr>
            <w:tcW w:w="1394"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131.420,88 </w:t>
            </w:r>
          </w:p>
        </w:tc>
      </w:tr>
      <w:tr w:rsidR="00E82202" w:rsidRPr="001A5D73" w:rsidTr="00BE089B">
        <w:trPr>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Manut Maq., Equip. e Veículos</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236.474,50 </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285.319,84 </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354.414,66 </w:t>
            </w:r>
          </w:p>
        </w:tc>
        <w:tc>
          <w:tcPr>
            <w:tcW w:w="1394"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200.219,20 </w:t>
            </w:r>
          </w:p>
        </w:tc>
      </w:tr>
      <w:tr w:rsidR="00E82202" w:rsidRPr="001A5D73" w:rsidTr="00BE089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Vale Transporte, vale alimentação</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241.737,04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241.927,97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266.304,83 </w:t>
            </w:r>
          </w:p>
        </w:tc>
        <w:tc>
          <w:tcPr>
            <w:tcW w:w="1394"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341.585,49 </w:t>
            </w:r>
          </w:p>
        </w:tc>
      </w:tr>
      <w:tr w:rsidR="00E82202" w:rsidRPr="001A5D73" w:rsidTr="00BE089B">
        <w:trPr>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Produtos Quimicos e mat. Diversos  Manut. Água</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713.323,56 </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508.566,34 </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882.172,58 </w:t>
            </w:r>
          </w:p>
        </w:tc>
        <w:tc>
          <w:tcPr>
            <w:tcW w:w="1394"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1.027.352,96 </w:t>
            </w:r>
          </w:p>
        </w:tc>
      </w:tr>
      <w:tr w:rsidR="00E82202" w:rsidRPr="001A5D73" w:rsidTr="00BE089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Serviços Bancários</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119.232,96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167.846,08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198.559,63 </w:t>
            </w:r>
          </w:p>
        </w:tc>
        <w:tc>
          <w:tcPr>
            <w:tcW w:w="1394"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223.834,19 </w:t>
            </w:r>
          </w:p>
        </w:tc>
      </w:tr>
      <w:tr w:rsidR="00E82202" w:rsidRPr="001A5D73" w:rsidTr="00BE089B">
        <w:trPr>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Indenizações Trabalhistas</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165.196,20 </w:t>
            </w:r>
          </w:p>
        </w:tc>
        <w:tc>
          <w:tcPr>
            <w:tcW w:w="1394"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296.687,53 </w:t>
            </w:r>
          </w:p>
        </w:tc>
      </w:tr>
      <w:tr w:rsidR="00E82202" w:rsidRPr="001A5D73" w:rsidTr="00BE089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Seguros</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26.414,91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29.332,99 </w:t>
            </w:r>
          </w:p>
        </w:tc>
        <w:tc>
          <w:tcPr>
            <w:tcW w:w="1183"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32.484,68 </w:t>
            </w:r>
          </w:p>
        </w:tc>
        <w:tc>
          <w:tcPr>
            <w:tcW w:w="1394" w:type="dxa"/>
            <w:noWrap/>
            <w:hideMark/>
          </w:tcPr>
          <w:p w:rsidR="00E82202" w:rsidRPr="001A5D73" w:rsidRDefault="00E82202" w:rsidP="00BE089B">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A5D73">
              <w:rPr>
                <w:color w:val="000000"/>
                <w:sz w:val="18"/>
                <w:szCs w:val="18"/>
              </w:rPr>
              <w:t xml:space="preserve">     35.864,03 </w:t>
            </w:r>
          </w:p>
        </w:tc>
      </w:tr>
      <w:tr w:rsidR="00E82202" w:rsidRPr="001A5D73" w:rsidTr="00BE089B">
        <w:trPr>
          <w:trHeight w:val="259"/>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color w:val="000000"/>
                <w:sz w:val="18"/>
                <w:szCs w:val="18"/>
              </w:rPr>
            </w:pPr>
            <w:r w:rsidRPr="001A5D73">
              <w:rPr>
                <w:color w:val="000000"/>
                <w:sz w:val="18"/>
                <w:szCs w:val="18"/>
              </w:rPr>
              <w:t>Investimentos</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224.626,85 </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157.352,69 </w:t>
            </w:r>
          </w:p>
        </w:tc>
        <w:tc>
          <w:tcPr>
            <w:tcW w:w="1183"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385.966,19 </w:t>
            </w:r>
          </w:p>
        </w:tc>
        <w:tc>
          <w:tcPr>
            <w:tcW w:w="1394" w:type="dxa"/>
            <w:noWrap/>
            <w:hideMark/>
          </w:tcPr>
          <w:p w:rsidR="00E82202" w:rsidRPr="001A5D73" w:rsidRDefault="00E82202" w:rsidP="00BE089B">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000000"/>
                <w:sz w:val="18"/>
                <w:szCs w:val="18"/>
              </w:rPr>
              <w:t xml:space="preserve">   470.850,94 </w:t>
            </w:r>
          </w:p>
        </w:tc>
      </w:tr>
      <w:tr w:rsidR="00E82202" w:rsidRPr="001A5D73" w:rsidTr="00BE089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b w:val="0"/>
                <w:bCs w:val="0"/>
                <w:color w:val="000000"/>
                <w:sz w:val="18"/>
                <w:szCs w:val="18"/>
              </w:rPr>
            </w:pPr>
            <w:r w:rsidRPr="001A5D73">
              <w:rPr>
                <w:color w:val="000000"/>
                <w:sz w:val="18"/>
                <w:szCs w:val="18"/>
              </w:rPr>
              <w:t>Total</w:t>
            </w:r>
          </w:p>
        </w:tc>
        <w:tc>
          <w:tcPr>
            <w:tcW w:w="1183" w:type="dxa"/>
            <w:noWrap/>
            <w:hideMark/>
          </w:tcPr>
          <w:p w:rsidR="00E82202" w:rsidRPr="001A5D73" w:rsidRDefault="00E82202" w:rsidP="00BE089B">
            <w:pP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5D73">
              <w:rPr>
                <w:color w:val="000000"/>
                <w:sz w:val="18"/>
                <w:szCs w:val="18"/>
              </w:rPr>
              <w:t xml:space="preserve">5.387.035,92 </w:t>
            </w:r>
          </w:p>
        </w:tc>
        <w:tc>
          <w:tcPr>
            <w:tcW w:w="1183" w:type="dxa"/>
            <w:noWrap/>
            <w:hideMark/>
          </w:tcPr>
          <w:p w:rsidR="00E82202" w:rsidRPr="001A5D73" w:rsidRDefault="00E82202" w:rsidP="00BE089B">
            <w:pPr>
              <w:jc w:val="right"/>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5D73">
              <w:rPr>
                <w:color w:val="000000"/>
                <w:sz w:val="18"/>
                <w:szCs w:val="18"/>
              </w:rPr>
              <w:t>5.879.794,00</w:t>
            </w:r>
          </w:p>
        </w:tc>
        <w:tc>
          <w:tcPr>
            <w:tcW w:w="1183" w:type="dxa"/>
            <w:noWrap/>
            <w:hideMark/>
          </w:tcPr>
          <w:p w:rsidR="00E82202" w:rsidRPr="001A5D73" w:rsidRDefault="00E82202" w:rsidP="00BE089B">
            <w:pPr>
              <w:jc w:val="right"/>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5D73">
              <w:rPr>
                <w:color w:val="000000"/>
                <w:sz w:val="18"/>
                <w:szCs w:val="18"/>
              </w:rPr>
              <w:t>7.202.706,91</w:t>
            </w:r>
          </w:p>
        </w:tc>
        <w:tc>
          <w:tcPr>
            <w:tcW w:w="1394" w:type="dxa"/>
            <w:noWrap/>
            <w:hideMark/>
          </w:tcPr>
          <w:p w:rsidR="00E82202" w:rsidRPr="001A5D73" w:rsidRDefault="00E82202" w:rsidP="00BE089B">
            <w:pPr>
              <w:jc w:val="right"/>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5D73">
              <w:rPr>
                <w:color w:val="000000"/>
                <w:sz w:val="18"/>
                <w:szCs w:val="18"/>
              </w:rPr>
              <w:t xml:space="preserve">7.818.963,08 </w:t>
            </w:r>
          </w:p>
        </w:tc>
      </w:tr>
      <w:tr w:rsidR="00E82202" w:rsidRPr="001A5D73" w:rsidTr="00BE089B">
        <w:trPr>
          <w:trHeight w:val="391"/>
        </w:trPr>
        <w:tc>
          <w:tcPr>
            <w:cnfStyle w:val="001000000000" w:firstRow="0" w:lastRow="0" w:firstColumn="1" w:lastColumn="0" w:oddVBand="0" w:evenVBand="0" w:oddHBand="0" w:evenHBand="0" w:firstRowFirstColumn="0" w:firstRowLastColumn="0" w:lastRowFirstColumn="0" w:lastRowLastColumn="0"/>
            <w:tcW w:w="4361" w:type="dxa"/>
            <w:noWrap/>
            <w:hideMark/>
          </w:tcPr>
          <w:p w:rsidR="00E82202" w:rsidRPr="001A5D73" w:rsidRDefault="00E82202" w:rsidP="00BE089B">
            <w:pPr>
              <w:spacing w:line="240" w:lineRule="auto"/>
              <w:rPr>
                <w:b w:val="0"/>
                <w:bCs w:val="0"/>
                <w:color w:val="000000"/>
                <w:sz w:val="18"/>
                <w:szCs w:val="18"/>
              </w:rPr>
            </w:pPr>
            <w:r w:rsidRPr="001A5D73">
              <w:rPr>
                <w:color w:val="000000"/>
                <w:sz w:val="18"/>
                <w:szCs w:val="18"/>
              </w:rPr>
              <w:t>Diferença</w:t>
            </w:r>
          </w:p>
        </w:tc>
        <w:tc>
          <w:tcPr>
            <w:tcW w:w="1183" w:type="dxa"/>
            <w:noWrap/>
            <w:hideMark/>
          </w:tcPr>
          <w:p w:rsidR="00E82202" w:rsidRPr="001A5D73" w:rsidRDefault="00E82202" w:rsidP="00BE089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FF0000"/>
                <w:sz w:val="18"/>
                <w:szCs w:val="18"/>
              </w:rPr>
              <w:t>(5.716,14)</w:t>
            </w:r>
          </w:p>
        </w:tc>
        <w:tc>
          <w:tcPr>
            <w:tcW w:w="1183" w:type="dxa"/>
            <w:noWrap/>
            <w:hideMark/>
          </w:tcPr>
          <w:p w:rsidR="00E82202" w:rsidRPr="001A5D73" w:rsidRDefault="00E82202" w:rsidP="00BE089B">
            <w:pPr>
              <w:jc w:val="right"/>
              <w:cnfStyle w:val="000000000000" w:firstRow="0" w:lastRow="0" w:firstColumn="0" w:lastColumn="0" w:oddVBand="0" w:evenVBand="0" w:oddHBand="0" w:evenHBand="0" w:firstRowFirstColumn="0" w:firstRowLastColumn="0" w:lastRowFirstColumn="0" w:lastRowLastColumn="0"/>
              <w:rPr>
                <w:color w:val="FF0000"/>
                <w:sz w:val="18"/>
                <w:szCs w:val="18"/>
              </w:rPr>
            </w:pPr>
            <w:r w:rsidRPr="001A5D73">
              <w:rPr>
                <w:color w:val="FF0000"/>
                <w:sz w:val="18"/>
                <w:szCs w:val="18"/>
              </w:rPr>
              <w:t>(89.980,16)</w:t>
            </w:r>
          </w:p>
        </w:tc>
        <w:tc>
          <w:tcPr>
            <w:tcW w:w="1183" w:type="dxa"/>
            <w:noWrap/>
            <w:hideMark/>
          </w:tcPr>
          <w:p w:rsidR="00E82202" w:rsidRPr="001A5D73" w:rsidRDefault="00E82202" w:rsidP="00BE089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FF0000"/>
                <w:sz w:val="18"/>
                <w:szCs w:val="18"/>
              </w:rPr>
              <w:t xml:space="preserve"> (99.598,77) </w:t>
            </w:r>
          </w:p>
        </w:tc>
        <w:tc>
          <w:tcPr>
            <w:tcW w:w="1394" w:type="dxa"/>
            <w:noWrap/>
            <w:hideMark/>
          </w:tcPr>
          <w:p w:rsidR="00E82202" w:rsidRPr="001A5D73" w:rsidRDefault="00E82202" w:rsidP="00BE089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A5D73">
              <w:rPr>
                <w:color w:val="FF0000"/>
                <w:sz w:val="18"/>
                <w:szCs w:val="18"/>
              </w:rPr>
              <w:t>(127.375,14)</w:t>
            </w:r>
            <w:r w:rsidRPr="001A5D73">
              <w:rPr>
                <w:color w:val="000000"/>
                <w:sz w:val="18"/>
                <w:szCs w:val="18"/>
              </w:rPr>
              <w:t xml:space="preserve"> </w:t>
            </w:r>
          </w:p>
        </w:tc>
      </w:tr>
    </w:tbl>
    <w:p w:rsidR="00E82202" w:rsidRPr="001A5D73" w:rsidRDefault="00E82202" w:rsidP="00E82202">
      <w:pPr>
        <w:ind w:firstLine="851"/>
        <w:jc w:val="both"/>
      </w:pPr>
    </w:p>
    <w:p w:rsidR="00E82202" w:rsidRPr="001A5D73" w:rsidRDefault="00E82202" w:rsidP="00E82202">
      <w:pPr>
        <w:ind w:firstLine="851"/>
        <w:jc w:val="both"/>
      </w:pPr>
      <w:r w:rsidRPr="001A5D73">
        <w:t xml:space="preserve">Numa primeira avaliação dos valores apresentados no demonstrativo percebeu-se divergência na totalização e optou-se por trazer os dados do balanço. </w:t>
      </w:r>
    </w:p>
    <w:p w:rsidR="00E82202" w:rsidRPr="001A5D73" w:rsidRDefault="00E82202" w:rsidP="00E82202">
      <w:pPr>
        <w:ind w:firstLine="851"/>
        <w:jc w:val="both"/>
      </w:pPr>
      <w:r w:rsidRPr="001A5D73">
        <w:lastRenderedPageBreak/>
        <w:t>Os dados do balanço, Anexo 2 da Lei nº 4.320/67 que trata da Receita e Despesa dos últimos cinco anos serviram de base para apuração do fluxo de caixa e também os custos unitários que a frente são apresentados.</w:t>
      </w:r>
    </w:p>
    <w:p w:rsidR="00464D0C" w:rsidRDefault="00464D0C" w:rsidP="00E82202">
      <w:pPr>
        <w:ind w:firstLine="851"/>
        <w:jc w:val="both"/>
      </w:pPr>
    </w:p>
    <w:p w:rsidR="00E82202" w:rsidRPr="001A5D73" w:rsidRDefault="00E82202" w:rsidP="00E82202">
      <w:pPr>
        <w:ind w:firstLine="851"/>
        <w:jc w:val="both"/>
      </w:pPr>
      <w:r w:rsidRPr="001A5D73">
        <w:t>Na tabela 3 a Autarquia apresenta: incremento das despesas no período 2009 a 2012.</w:t>
      </w:r>
    </w:p>
    <w:p w:rsidR="00E82202" w:rsidRPr="001A5D73" w:rsidRDefault="00E82202" w:rsidP="00E82202">
      <w:pPr>
        <w:ind w:firstLine="851"/>
        <w:jc w:val="both"/>
      </w:pPr>
    </w:p>
    <w:tbl>
      <w:tblPr>
        <w:tblStyle w:val="Tabelacomgrade"/>
        <w:tblW w:w="0" w:type="auto"/>
        <w:tblLook w:val="04A0" w:firstRow="1" w:lastRow="0" w:firstColumn="1" w:lastColumn="0" w:noHBand="0" w:noVBand="1"/>
      </w:tblPr>
      <w:tblGrid>
        <w:gridCol w:w="4662"/>
        <w:gridCol w:w="4663"/>
      </w:tblGrid>
      <w:tr w:rsidR="00E82202" w:rsidRPr="001A5D73" w:rsidTr="00BE089B">
        <w:tc>
          <w:tcPr>
            <w:tcW w:w="4662" w:type="dxa"/>
            <w:shd w:val="clear" w:color="auto" w:fill="8DB3E2" w:themeFill="text2" w:themeFillTint="66"/>
          </w:tcPr>
          <w:p w:rsidR="00E82202" w:rsidRPr="001A5D73" w:rsidRDefault="00E82202" w:rsidP="00BE089B">
            <w:pPr>
              <w:jc w:val="center"/>
              <w:rPr>
                <w:b/>
              </w:rPr>
            </w:pPr>
            <w:r w:rsidRPr="001A5D73">
              <w:rPr>
                <w:b/>
              </w:rPr>
              <w:t>Período de referencia</w:t>
            </w:r>
          </w:p>
        </w:tc>
        <w:tc>
          <w:tcPr>
            <w:tcW w:w="4663" w:type="dxa"/>
            <w:shd w:val="clear" w:color="auto" w:fill="8DB3E2" w:themeFill="text2" w:themeFillTint="66"/>
          </w:tcPr>
          <w:p w:rsidR="00E82202" w:rsidRPr="001A5D73" w:rsidRDefault="00E82202" w:rsidP="00BE089B">
            <w:pPr>
              <w:jc w:val="center"/>
              <w:rPr>
                <w:b/>
              </w:rPr>
            </w:pPr>
            <w:r w:rsidRPr="001A5D73">
              <w:rPr>
                <w:b/>
              </w:rPr>
              <w:t>Crescimento das despesas no período (%)</w:t>
            </w:r>
          </w:p>
        </w:tc>
      </w:tr>
      <w:tr w:rsidR="00E82202" w:rsidRPr="001A5D73" w:rsidTr="00BE089B">
        <w:tc>
          <w:tcPr>
            <w:tcW w:w="4662" w:type="dxa"/>
          </w:tcPr>
          <w:p w:rsidR="00E82202" w:rsidRPr="001A5D73" w:rsidRDefault="00E82202" w:rsidP="00BE089B">
            <w:pPr>
              <w:jc w:val="center"/>
            </w:pPr>
            <w:r w:rsidRPr="001A5D73">
              <w:t>2009/2010</w:t>
            </w:r>
          </w:p>
        </w:tc>
        <w:tc>
          <w:tcPr>
            <w:tcW w:w="4663" w:type="dxa"/>
          </w:tcPr>
          <w:p w:rsidR="00E82202" w:rsidRPr="001A5D73" w:rsidRDefault="00E82202" w:rsidP="00BE089B">
            <w:pPr>
              <w:jc w:val="center"/>
            </w:pPr>
            <w:r w:rsidRPr="001A5D73">
              <w:t>9,15</w:t>
            </w:r>
          </w:p>
        </w:tc>
      </w:tr>
      <w:tr w:rsidR="00E82202" w:rsidRPr="001A5D73" w:rsidTr="00BE089B">
        <w:tc>
          <w:tcPr>
            <w:tcW w:w="4662" w:type="dxa"/>
          </w:tcPr>
          <w:p w:rsidR="00E82202" w:rsidRPr="001A5D73" w:rsidRDefault="00E82202" w:rsidP="00BE089B">
            <w:pPr>
              <w:jc w:val="center"/>
            </w:pPr>
            <w:r w:rsidRPr="001A5D73">
              <w:t>2010/2011</w:t>
            </w:r>
          </w:p>
        </w:tc>
        <w:tc>
          <w:tcPr>
            <w:tcW w:w="4663" w:type="dxa"/>
          </w:tcPr>
          <w:p w:rsidR="00E82202" w:rsidRPr="001A5D73" w:rsidRDefault="00E82202" w:rsidP="00BE089B">
            <w:pPr>
              <w:jc w:val="center"/>
            </w:pPr>
            <w:r w:rsidRPr="001A5D73">
              <w:t>22,50</w:t>
            </w:r>
          </w:p>
        </w:tc>
      </w:tr>
      <w:tr w:rsidR="00E82202" w:rsidRPr="001A5D73" w:rsidTr="00BE089B">
        <w:tc>
          <w:tcPr>
            <w:tcW w:w="4662" w:type="dxa"/>
          </w:tcPr>
          <w:p w:rsidR="00E82202" w:rsidRPr="001A5D73" w:rsidRDefault="00E82202" w:rsidP="00BE089B">
            <w:pPr>
              <w:jc w:val="center"/>
            </w:pPr>
            <w:r w:rsidRPr="001A5D73">
              <w:t>2011/2012</w:t>
            </w:r>
          </w:p>
        </w:tc>
        <w:tc>
          <w:tcPr>
            <w:tcW w:w="4663" w:type="dxa"/>
          </w:tcPr>
          <w:p w:rsidR="00E82202" w:rsidRPr="001A5D73" w:rsidRDefault="00E82202" w:rsidP="00BE089B">
            <w:pPr>
              <w:jc w:val="center"/>
            </w:pPr>
            <w:r w:rsidRPr="001A5D73">
              <w:t>8,56</w:t>
            </w:r>
          </w:p>
        </w:tc>
      </w:tr>
    </w:tbl>
    <w:p w:rsidR="00E82202" w:rsidRPr="001A5D73" w:rsidRDefault="00E82202" w:rsidP="00E82202">
      <w:pPr>
        <w:ind w:firstLine="851"/>
        <w:jc w:val="both"/>
      </w:pPr>
    </w:p>
    <w:p w:rsidR="00E82202" w:rsidRPr="001A5D73" w:rsidRDefault="00E82202" w:rsidP="00E82202">
      <w:pPr>
        <w:ind w:firstLine="851"/>
        <w:jc w:val="both"/>
      </w:pPr>
      <w:r w:rsidRPr="001A5D73">
        <w:t>Na tabela 4 apresentou: Faturamento do SAMAE – Gaspar no período 2009 a 2012.</w:t>
      </w:r>
    </w:p>
    <w:p w:rsidR="00E82202" w:rsidRPr="001A5D73" w:rsidRDefault="00E82202" w:rsidP="00E82202">
      <w:pPr>
        <w:ind w:firstLine="851"/>
        <w:jc w:val="both"/>
      </w:pPr>
    </w:p>
    <w:tbl>
      <w:tblPr>
        <w:tblStyle w:val="Tabelacomgrade"/>
        <w:tblW w:w="0" w:type="auto"/>
        <w:tblLook w:val="04A0" w:firstRow="1" w:lastRow="0" w:firstColumn="1" w:lastColumn="0" w:noHBand="0" w:noVBand="1"/>
      </w:tblPr>
      <w:tblGrid>
        <w:gridCol w:w="1865"/>
        <w:gridCol w:w="1865"/>
        <w:gridCol w:w="1865"/>
        <w:gridCol w:w="1865"/>
        <w:gridCol w:w="1865"/>
      </w:tblGrid>
      <w:tr w:rsidR="00E82202" w:rsidRPr="001A5D73" w:rsidTr="00BE089B">
        <w:tc>
          <w:tcPr>
            <w:tcW w:w="1865" w:type="dxa"/>
            <w:shd w:val="clear" w:color="auto" w:fill="8DB3E2" w:themeFill="text2" w:themeFillTint="66"/>
          </w:tcPr>
          <w:p w:rsidR="00E82202" w:rsidRPr="001A5D73" w:rsidRDefault="00E82202" w:rsidP="00BE089B">
            <w:pPr>
              <w:jc w:val="center"/>
              <w:rPr>
                <w:b/>
              </w:rPr>
            </w:pPr>
            <w:r w:rsidRPr="001A5D73">
              <w:rPr>
                <w:b/>
              </w:rPr>
              <w:t>Ano</w:t>
            </w:r>
          </w:p>
        </w:tc>
        <w:tc>
          <w:tcPr>
            <w:tcW w:w="1865" w:type="dxa"/>
            <w:shd w:val="clear" w:color="auto" w:fill="8DB3E2" w:themeFill="text2" w:themeFillTint="66"/>
          </w:tcPr>
          <w:p w:rsidR="00E82202" w:rsidRPr="001A5D73" w:rsidRDefault="00E82202" w:rsidP="00BE089B">
            <w:pPr>
              <w:jc w:val="center"/>
              <w:rPr>
                <w:b/>
              </w:rPr>
            </w:pPr>
            <w:r w:rsidRPr="001A5D73">
              <w:rPr>
                <w:b/>
              </w:rPr>
              <w:t>2009</w:t>
            </w:r>
          </w:p>
        </w:tc>
        <w:tc>
          <w:tcPr>
            <w:tcW w:w="1865" w:type="dxa"/>
            <w:shd w:val="clear" w:color="auto" w:fill="8DB3E2" w:themeFill="text2" w:themeFillTint="66"/>
          </w:tcPr>
          <w:p w:rsidR="00E82202" w:rsidRPr="001A5D73" w:rsidRDefault="00E82202" w:rsidP="00BE089B">
            <w:pPr>
              <w:jc w:val="center"/>
              <w:rPr>
                <w:b/>
              </w:rPr>
            </w:pPr>
            <w:r w:rsidRPr="001A5D73">
              <w:rPr>
                <w:b/>
              </w:rPr>
              <w:t>2010</w:t>
            </w:r>
          </w:p>
        </w:tc>
        <w:tc>
          <w:tcPr>
            <w:tcW w:w="1865" w:type="dxa"/>
            <w:shd w:val="clear" w:color="auto" w:fill="8DB3E2" w:themeFill="text2" w:themeFillTint="66"/>
          </w:tcPr>
          <w:p w:rsidR="00E82202" w:rsidRPr="001A5D73" w:rsidRDefault="00E82202" w:rsidP="00BE089B">
            <w:pPr>
              <w:jc w:val="center"/>
              <w:rPr>
                <w:b/>
              </w:rPr>
            </w:pPr>
            <w:r w:rsidRPr="001A5D73">
              <w:rPr>
                <w:b/>
              </w:rPr>
              <w:t>2011</w:t>
            </w:r>
          </w:p>
        </w:tc>
        <w:tc>
          <w:tcPr>
            <w:tcW w:w="1865" w:type="dxa"/>
            <w:shd w:val="clear" w:color="auto" w:fill="8DB3E2" w:themeFill="text2" w:themeFillTint="66"/>
          </w:tcPr>
          <w:p w:rsidR="00E82202" w:rsidRPr="001A5D73" w:rsidRDefault="00E82202" w:rsidP="00BE089B">
            <w:pPr>
              <w:jc w:val="center"/>
              <w:rPr>
                <w:b/>
              </w:rPr>
            </w:pPr>
            <w:r w:rsidRPr="001A5D73">
              <w:rPr>
                <w:b/>
              </w:rPr>
              <w:t>2012</w:t>
            </w:r>
          </w:p>
        </w:tc>
      </w:tr>
      <w:tr w:rsidR="00E82202" w:rsidRPr="001A5D73" w:rsidTr="00BE089B">
        <w:tc>
          <w:tcPr>
            <w:tcW w:w="1865" w:type="dxa"/>
          </w:tcPr>
          <w:p w:rsidR="00E82202" w:rsidRPr="001A5D73" w:rsidRDefault="00E82202" w:rsidP="00BE089B">
            <w:pPr>
              <w:jc w:val="center"/>
              <w:rPr>
                <w:b/>
              </w:rPr>
            </w:pPr>
            <w:r w:rsidRPr="001A5D73">
              <w:rPr>
                <w:b/>
              </w:rPr>
              <w:t>Receita R$</w:t>
            </w:r>
          </w:p>
        </w:tc>
        <w:tc>
          <w:tcPr>
            <w:tcW w:w="1865" w:type="dxa"/>
          </w:tcPr>
          <w:p w:rsidR="00E82202" w:rsidRPr="001A5D73" w:rsidRDefault="00E82202" w:rsidP="00BE089B">
            <w:pPr>
              <w:jc w:val="right"/>
            </w:pPr>
            <w:r w:rsidRPr="001A5D73">
              <w:t>7.191.241,75</w:t>
            </w:r>
          </w:p>
        </w:tc>
        <w:tc>
          <w:tcPr>
            <w:tcW w:w="1865" w:type="dxa"/>
          </w:tcPr>
          <w:p w:rsidR="00E82202" w:rsidRPr="001A5D73" w:rsidRDefault="00E82202" w:rsidP="00BE089B">
            <w:pPr>
              <w:jc w:val="right"/>
            </w:pPr>
            <w:r w:rsidRPr="001A5D73">
              <w:t>8.076.029,89</w:t>
            </w:r>
          </w:p>
        </w:tc>
        <w:tc>
          <w:tcPr>
            <w:tcW w:w="1865" w:type="dxa"/>
          </w:tcPr>
          <w:p w:rsidR="00E82202" w:rsidRPr="001A5D73" w:rsidRDefault="00E82202" w:rsidP="00BE089B">
            <w:pPr>
              <w:jc w:val="right"/>
            </w:pPr>
            <w:r w:rsidRPr="001A5D73">
              <w:t>8.694.613,38</w:t>
            </w:r>
          </w:p>
        </w:tc>
        <w:tc>
          <w:tcPr>
            <w:tcW w:w="1865" w:type="dxa"/>
          </w:tcPr>
          <w:p w:rsidR="00E82202" w:rsidRPr="001A5D73" w:rsidRDefault="00E82202" w:rsidP="00BE089B">
            <w:pPr>
              <w:jc w:val="right"/>
            </w:pPr>
            <w:r w:rsidRPr="001A5D73">
              <w:t>9.646.133,17</w:t>
            </w:r>
          </w:p>
        </w:tc>
      </w:tr>
    </w:tbl>
    <w:p w:rsidR="00E82202" w:rsidRPr="001A5D73" w:rsidRDefault="00E82202" w:rsidP="00E82202">
      <w:pPr>
        <w:ind w:firstLine="851"/>
        <w:jc w:val="both"/>
      </w:pPr>
    </w:p>
    <w:p w:rsidR="00E82202" w:rsidRPr="001A5D73" w:rsidRDefault="00E82202" w:rsidP="00E82202">
      <w:pPr>
        <w:ind w:firstLine="851"/>
        <w:jc w:val="both"/>
      </w:pPr>
      <w:r w:rsidRPr="001A5D73">
        <w:t>A tabela 5 contempla: valor de reajuste da tarifa de água.</w:t>
      </w:r>
    </w:p>
    <w:p w:rsidR="00E82202" w:rsidRPr="001A5D73" w:rsidRDefault="00E82202" w:rsidP="00E82202">
      <w:pPr>
        <w:ind w:firstLine="851"/>
        <w:jc w:val="both"/>
      </w:pPr>
    </w:p>
    <w:tbl>
      <w:tblPr>
        <w:tblStyle w:val="Tabelacomgrade"/>
        <w:tblW w:w="9322" w:type="dxa"/>
        <w:tblLook w:val="04A0" w:firstRow="1" w:lastRow="0" w:firstColumn="1" w:lastColumn="0" w:noHBand="0" w:noVBand="1"/>
      </w:tblPr>
      <w:tblGrid>
        <w:gridCol w:w="3227"/>
        <w:gridCol w:w="1417"/>
        <w:gridCol w:w="1418"/>
        <w:gridCol w:w="1492"/>
        <w:gridCol w:w="1768"/>
      </w:tblGrid>
      <w:tr w:rsidR="00E82202" w:rsidRPr="001A5D73" w:rsidTr="00BE089B">
        <w:tc>
          <w:tcPr>
            <w:tcW w:w="3227" w:type="dxa"/>
            <w:shd w:val="clear" w:color="auto" w:fill="8DB3E2" w:themeFill="text2" w:themeFillTint="66"/>
          </w:tcPr>
          <w:p w:rsidR="00E82202" w:rsidRPr="001A5D73" w:rsidRDefault="00E82202" w:rsidP="00BE089B">
            <w:pPr>
              <w:jc w:val="center"/>
              <w:rPr>
                <w:b/>
              </w:rPr>
            </w:pPr>
            <w:r w:rsidRPr="001A5D73">
              <w:rPr>
                <w:b/>
              </w:rPr>
              <w:t>Água</w:t>
            </w:r>
          </w:p>
        </w:tc>
        <w:tc>
          <w:tcPr>
            <w:tcW w:w="1417" w:type="dxa"/>
            <w:shd w:val="clear" w:color="auto" w:fill="8DB3E2" w:themeFill="text2" w:themeFillTint="66"/>
          </w:tcPr>
          <w:p w:rsidR="00E82202" w:rsidRPr="001A5D73" w:rsidRDefault="00E82202" w:rsidP="00BE089B">
            <w:pPr>
              <w:jc w:val="center"/>
              <w:rPr>
                <w:b/>
              </w:rPr>
            </w:pPr>
            <w:r w:rsidRPr="001A5D73">
              <w:rPr>
                <w:b/>
              </w:rPr>
              <w:t>2009</w:t>
            </w:r>
          </w:p>
        </w:tc>
        <w:tc>
          <w:tcPr>
            <w:tcW w:w="1418" w:type="dxa"/>
            <w:shd w:val="clear" w:color="auto" w:fill="8DB3E2" w:themeFill="text2" w:themeFillTint="66"/>
          </w:tcPr>
          <w:p w:rsidR="00E82202" w:rsidRPr="001A5D73" w:rsidRDefault="00E82202" w:rsidP="00BE089B">
            <w:pPr>
              <w:jc w:val="center"/>
              <w:rPr>
                <w:b/>
              </w:rPr>
            </w:pPr>
            <w:r w:rsidRPr="001A5D73">
              <w:rPr>
                <w:b/>
              </w:rPr>
              <w:t>2010</w:t>
            </w:r>
          </w:p>
        </w:tc>
        <w:tc>
          <w:tcPr>
            <w:tcW w:w="1492" w:type="dxa"/>
            <w:shd w:val="clear" w:color="auto" w:fill="8DB3E2" w:themeFill="text2" w:themeFillTint="66"/>
          </w:tcPr>
          <w:p w:rsidR="00E82202" w:rsidRPr="001A5D73" w:rsidRDefault="00E82202" w:rsidP="00BE089B">
            <w:pPr>
              <w:jc w:val="center"/>
              <w:rPr>
                <w:b/>
              </w:rPr>
            </w:pPr>
            <w:r w:rsidRPr="001A5D73">
              <w:rPr>
                <w:b/>
              </w:rPr>
              <w:t>2011</w:t>
            </w:r>
          </w:p>
        </w:tc>
        <w:tc>
          <w:tcPr>
            <w:tcW w:w="1768" w:type="dxa"/>
            <w:shd w:val="clear" w:color="auto" w:fill="8DB3E2" w:themeFill="text2" w:themeFillTint="66"/>
          </w:tcPr>
          <w:p w:rsidR="00E82202" w:rsidRPr="001A5D73" w:rsidRDefault="00E82202" w:rsidP="00BE089B">
            <w:pPr>
              <w:jc w:val="center"/>
              <w:rPr>
                <w:b/>
              </w:rPr>
            </w:pPr>
            <w:r w:rsidRPr="001A5D73">
              <w:rPr>
                <w:b/>
              </w:rPr>
              <w:t>2012</w:t>
            </w:r>
          </w:p>
        </w:tc>
      </w:tr>
      <w:tr w:rsidR="00E82202" w:rsidRPr="001A5D73" w:rsidTr="00BE089B">
        <w:tc>
          <w:tcPr>
            <w:tcW w:w="3227" w:type="dxa"/>
          </w:tcPr>
          <w:p w:rsidR="00E82202" w:rsidRPr="001A5D73" w:rsidRDefault="00E82202" w:rsidP="00BE089B">
            <w:pPr>
              <w:jc w:val="both"/>
            </w:pPr>
            <w:r w:rsidRPr="001A5D73">
              <w:t>Valor da tarifa mínima (R$)</w:t>
            </w:r>
          </w:p>
        </w:tc>
        <w:tc>
          <w:tcPr>
            <w:tcW w:w="1417" w:type="dxa"/>
          </w:tcPr>
          <w:p w:rsidR="00E82202" w:rsidRPr="001A5D73" w:rsidRDefault="00E82202" w:rsidP="00BE089B">
            <w:pPr>
              <w:jc w:val="center"/>
            </w:pPr>
            <w:r w:rsidRPr="001A5D73">
              <w:t>18,43</w:t>
            </w:r>
          </w:p>
        </w:tc>
        <w:tc>
          <w:tcPr>
            <w:tcW w:w="1418" w:type="dxa"/>
          </w:tcPr>
          <w:p w:rsidR="00E82202" w:rsidRPr="001A5D73" w:rsidRDefault="00E82202" w:rsidP="00BE089B">
            <w:pPr>
              <w:jc w:val="center"/>
            </w:pPr>
            <w:r w:rsidRPr="001A5D73">
              <w:t>19,31</w:t>
            </w:r>
          </w:p>
        </w:tc>
        <w:tc>
          <w:tcPr>
            <w:tcW w:w="1492" w:type="dxa"/>
          </w:tcPr>
          <w:p w:rsidR="00E82202" w:rsidRPr="001A5D73" w:rsidRDefault="00E82202" w:rsidP="00BE089B">
            <w:pPr>
              <w:jc w:val="center"/>
            </w:pPr>
            <w:r w:rsidRPr="001A5D73">
              <w:t>20,54</w:t>
            </w:r>
          </w:p>
        </w:tc>
        <w:tc>
          <w:tcPr>
            <w:tcW w:w="1768" w:type="dxa"/>
          </w:tcPr>
          <w:p w:rsidR="00E82202" w:rsidRPr="001A5D73" w:rsidRDefault="00E82202" w:rsidP="00BE089B">
            <w:pPr>
              <w:jc w:val="center"/>
            </w:pPr>
            <w:r w:rsidRPr="001A5D73">
              <w:t>21,66</w:t>
            </w:r>
          </w:p>
        </w:tc>
      </w:tr>
      <w:tr w:rsidR="00E82202" w:rsidRPr="001A5D73" w:rsidTr="00BE089B">
        <w:tc>
          <w:tcPr>
            <w:tcW w:w="3227" w:type="dxa"/>
          </w:tcPr>
          <w:p w:rsidR="00E82202" w:rsidRPr="001A5D73" w:rsidRDefault="00E82202" w:rsidP="00BE089B">
            <w:pPr>
              <w:jc w:val="both"/>
            </w:pPr>
            <w:r w:rsidRPr="001A5D73">
              <w:t>Percentual de reajuste na tarifa</w:t>
            </w:r>
          </w:p>
        </w:tc>
        <w:tc>
          <w:tcPr>
            <w:tcW w:w="1417" w:type="dxa"/>
          </w:tcPr>
          <w:p w:rsidR="00E82202" w:rsidRPr="001A5D73" w:rsidRDefault="00E82202" w:rsidP="00BE089B">
            <w:pPr>
              <w:jc w:val="both"/>
            </w:pPr>
          </w:p>
        </w:tc>
        <w:tc>
          <w:tcPr>
            <w:tcW w:w="1418" w:type="dxa"/>
          </w:tcPr>
          <w:p w:rsidR="00E82202" w:rsidRPr="001A5D73" w:rsidRDefault="00E82202" w:rsidP="00BE089B">
            <w:pPr>
              <w:jc w:val="center"/>
            </w:pPr>
            <w:r w:rsidRPr="001A5D73">
              <w:t>4,77%</w:t>
            </w:r>
          </w:p>
        </w:tc>
        <w:tc>
          <w:tcPr>
            <w:tcW w:w="1492" w:type="dxa"/>
          </w:tcPr>
          <w:p w:rsidR="00E82202" w:rsidRPr="001A5D73" w:rsidRDefault="00E82202" w:rsidP="00BE089B">
            <w:pPr>
              <w:jc w:val="center"/>
            </w:pPr>
            <w:r w:rsidRPr="001A5D73">
              <w:t>6,37%</w:t>
            </w:r>
          </w:p>
        </w:tc>
        <w:tc>
          <w:tcPr>
            <w:tcW w:w="1768" w:type="dxa"/>
          </w:tcPr>
          <w:p w:rsidR="00E82202" w:rsidRPr="001A5D73" w:rsidRDefault="00E82202" w:rsidP="00BE089B">
            <w:pPr>
              <w:jc w:val="center"/>
            </w:pPr>
            <w:r w:rsidRPr="001A5D73">
              <w:t>5,47%</w:t>
            </w:r>
          </w:p>
        </w:tc>
      </w:tr>
    </w:tbl>
    <w:p w:rsidR="00E82202" w:rsidRPr="001A5D73" w:rsidRDefault="00E82202" w:rsidP="00E82202">
      <w:pPr>
        <w:ind w:firstLine="851"/>
        <w:jc w:val="both"/>
      </w:pPr>
    </w:p>
    <w:p w:rsidR="00E82202" w:rsidRPr="001A5D73" w:rsidRDefault="00E82202" w:rsidP="00E82202">
      <w:pPr>
        <w:ind w:firstLine="851"/>
        <w:jc w:val="both"/>
      </w:pPr>
      <w:r w:rsidRPr="001A5D73">
        <w:t xml:space="preserve">Por último, a Autarquia elenca os serviços que não constam no decreto municipal que regulamenta os preços e tarifas dos serviços do SAMAE. </w:t>
      </w:r>
    </w:p>
    <w:p w:rsidR="00E82202" w:rsidRPr="001A5D73" w:rsidRDefault="00E82202" w:rsidP="00E82202">
      <w:pPr>
        <w:ind w:firstLine="851"/>
        <w:jc w:val="both"/>
      </w:pPr>
    </w:p>
    <w:tbl>
      <w:tblPr>
        <w:tblStyle w:val="Tabelacomgrade"/>
        <w:tblW w:w="9180" w:type="dxa"/>
        <w:tblLook w:val="04A0" w:firstRow="1" w:lastRow="0" w:firstColumn="1" w:lastColumn="0" w:noHBand="0" w:noVBand="1"/>
      </w:tblPr>
      <w:tblGrid>
        <w:gridCol w:w="5495"/>
        <w:gridCol w:w="3685"/>
      </w:tblGrid>
      <w:tr w:rsidR="00E82202" w:rsidRPr="001A5D73" w:rsidTr="00BE089B">
        <w:tc>
          <w:tcPr>
            <w:tcW w:w="5495" w:type="dxa"/>
            <w:shd w:val="clear" w:color="auto" w:fill="8DB3E2" w:themeFill="text2" w:themeFillTint="66"/>
          </w:tcPr>
          <w:p w:rsidR="00E82202" w:rsidRPr="001A5D73" w:rsidRDefault="00E82202" w:rsidP="00BE089B">
            <w:pPr>
              <w:jc w:val="center"/>
              <w:rPr>
                <w:b/>
              </w:rPr>
            </w:pPr>
            <w:r w:rsidRPr="001A5D73">
              <w:rPr>
                <w:b/>
              </w:rPr>
              <w:t>Serviços</w:t>
            </w:r>
          </w:p>
        </w:tc>
        <w:tc>
          <w:tcPr>
            <w:tcW w:w="3685" w:type="dxa"/>
            <w:shd w:val="clear" w:color="auto" w:fill="8DB3E2" w:themeFill="text2" w:themeFillTint="66"/>
          </w:tcPr>
          <w:p w:rsidR="00E82202" w:rsidRPr="001A5D73" w:rsidRDefault="00E82202" w:rsidP="00BE089B">
            <w:pPr>
              <w:jc w:val="center"/>
              <w:rPr>
                <w:b/>
              </w:rPr>
            </w:pPr>
            <w:r w:rsidRPr="001A5D73">
              <w:rPr>
                <w:b/>
              </w:rPr>
              <w:t>Custo do serviço (R$)</w:t>
            </w:r>
          </w:p>
        </w:tc>
      </w:tr>
      <w:tr w:rsidR="00E82202" w:rsidRPr="001A5D73" w:rsidTr="00BE089B">
        <w:tc>
          <w:tcPr>
            <w:tcW w:w="5495" w:type="dxa"/>
          </w:tcPr>
          <w:p w:rsidR="00E82202" w:rsidRPr="001A5D73" w:rsidRDefault="00E82202" w:rsidP="00BE089B">
            <w:pPr>
              <w:jc w:val="both"/>
            </w:pPr>
            <w:r w:rsidRPr="001A5D73">
              <w:t>Hidrômetro furtado sem boletim de ocorrência</w:t>
            </w:r>
          </w:p>
        </w:tc>
        <w:tc>
          <w:tcPr>
            <w:tcW w:w="3685" w:type="dxa"/>
          </w:tcPr>
          <w:p w:rsidR="00E82202" w:rsidRPr="001A5D73" w:rsidRDefault="00E82202" w:rsidP="00BE089B">
            <w:pPr>
              <w:jc w:val="center"/>
            </w:pPr>
            <w:r w:rsidRPr="001A5D73">
              <w:t>88,11</w:t>
            </w:r>
          </w:p>
        </w:tc>
      </w:tr>
      <w:tr w:rsidR="00E82202" w:rsidRPr="001A5D73" w:rsidTr="00BE089B">
        <w:tc>
          <w:tcPr>
            <w:tcW w:w="5495" w:type="dxa"/>
          </w:tcPr>
          <w:p w:rsidR="00E82202" w:rsidRPr="001A5D73" w:rsidRDefault="00E82202" w:rsidP="00BE089B">
            <w:pPr>
              <w:jc w:val="both"/>
            </w:pPr>
            <w:r w:rsidRPr="001A5D73">
              <w:t>Valor do hidrômetro</w:t>
            </w:r>
          </w:p>
        </w:tc>
        <w:tc>
          <w:tcPr>
            <w:tcW w:w="3685" w:type="dxa"/>
          </w:tcPr>
          <w:p w:rsidR="00E82202" w:rsidRPr="001A5D73" w:rsidRDefault="00E82202" w:rsidP="00BE089B">
            <w:pPr>
              <w:jc w:val="center"/>
            </w:pPr>
            <w:r w:rsidRPr="001A5D73">
              <w:t>58,10</w:t>
            </w:r>
          </w:p>
        </w:tc>
      </w:tr>
      <w:tr w:rsidR="00E82202" w:rsidRPr="001A5D73" w:rsidTr="00BE089B">
        <w:tc>
          <w:tcPr>
            <w:tcW w:w="5495" w:type="dxa"/>
          </w:tcPr>
          <w:p w:rsidR="00E82202" w:rsidRPr="001A5D73" w:rsidRDefault="00E82202" w:rsidP="00BE089B">
            <w:pPr>
              <w:jc w:val="both"/>
            </w:pPr>
            <w:r w:rsidRPr="001A5D73">
              <w:t>Hidrômetro furtado com boletim de ocorrência</w:t>
            </w:r>
          </w:p>
        </w:tc>
        <w:tc>
          <w:tcPr>
            <w:tcW w:w="3685" w:type="dxa"/>
          </w:tcPr>
          <w:p w:rsidR="00E82202" w:rsidRPr="001A5D73" w:rsidRDefault="00E82202" w:rsidP="00BE089B">
            <w:pPr>
              <w:jc w:val="center"/>
            </w:pPr>
            <w:r w:rsidRPr="001A5D73">
              <w:t>58,10</w:t>
            </w:r>
          </w:p>
        </w:tc>
      </w:tr>
      <w:tr w:rsidR="00E82202" w:rsidRPr="001A5D73" w:rsidTr="00BE089B">
        <w:tc>
          <w:tcPr>
            <w:tcW w:w="5495" w:type="dxa"/>
          </w:tcPr>
          <w:p w:rsidR="00E82202" w:rsidRPr="001A5D73" w:rsidRDefault="00E82202" w:rsidP="00BE089B">
            <w:pPr>
              <w:jc w:val="both"/>
            </w:pPr>
            <w:r w:rsidRPr="001A5D73">
              <w:t>Levantar cavalete por solicitação do usuário</w:t>
            </w:r>
          </w:p>
        </w:tc>
        <w:tc>
          <w:tcPr>
            <w:tcW w:w="3685" w:type="dxa"/>
          </w:tcPr>
          <w:p w:rsidR="00E82202" w:rsidRPr="001A5D73" w:rsidRDefault="00E82202" w:rsidP="00BE089B">
            <w:pPr>
              <w:jc w:val="center"/>
            </w:pPr>
            <w:r w:rsidRPr="001A5D73">
              <w:t>37,26</w:t>
            </w:r>
          </w:p>
        </w:tc>
      </w:tr>
      <w:tr w:rsidR="00E82202" w:rsidRPr="001A5D73" w:rsidTr="00BE089B">
        <w:tc>
          <w:tcPr>
            <w:tcW w:w="5495" w:type="dxa"/>
          </w:tcPr>
          <w:p w:rsidR="00E82202" w:rsidRPr="001A5D73" w:rsidRDefault="00E82202" w:rsidP="00BE089B">
            <w:pPr>
              <w:jc w:val="both"/>
            </w:pPr>
            <w:r w:rsidRPr="001A5D73">
              <w:t>Conserto de cavalete</w:t>
            </w:r>
          </w:p>
        </w:tc>
        <w:tc>
          <w:tcPr>
            <w:tcW w:w="3685" w:type="dxa"/>
          </w:tcPr>
          <w:p w:rsidR="00E82202" w:rsidRPr="001A5D73" w:rsidRDefault="00E82202" w:rsidP="00BE089B">
            <w:pPr>
              <w:jc w:val="center"/>
            </w:pPr>
            <w:r w:rsidRPr="001A5D73">
              <w:t>37,26</w:t>
            </w:r>
          </w:p>
        </w:tc>
      </w:tr>
      <w:tr w:rsidR="00E82202" w:rsidRPr="001A5D73" w:rsidTr="00BE089B">
        <w:tc>
          <w:tcPr>
            <w:tcW w:w="5495" w:type="dxa"/>
          </w:tcPr>
          <w:p w:rsidR="00E82202" w:rsidRPr="001A5D73" w:rsidRDefault="00E82202" w:rsidP="00BE089B">
            <w:pPr>
              <w:jc w:val="both"/>
            </w:pPr>
            <w:r w:rsidRPr="001A5D73">
              <w:lastRenderedPageBreak/>
              <w:t>Levantamento de cavalete por solicitação do usuário</w:t>
            </w:r>
          </w:p>
        </w:tc>
        <w:tc>
          <w:tcPr>
            <w:tcW w:w="3685" w:type="dxa"/>
          </w:tcPr>
          <w:p w:rsidR="00E82202" w:rsidRPr="001A5D73" w:rsidRDefault="00E82202" w:rsidP="00BE089B">
            <w:pPr>
              <w:jc w:val="center"/>
            </w:pPr>
            <w:r w:rsidRPr="001A5D73">
              <w:t>37,26</w:t>
            </w:r>
          </w:p>
        </w:tc>
      </w:tr>
    </w:tbl>
    <w:p w:rsidR="00E82202" w:rsidRPr="001A5D73" w:rsidRDefault="00E82202" w:rsidP="00C369EF">
      <w:pPr>
        <w:ind w:firstLine="851"/>
        <w:jc w:val="both"/>
        <w:rPr>
          <w:sz w:val="20"/>
          <w:szCs w:val="20"/>
        </w:rPr>
      </w:pPr>
    </w:p>
    <w:p w:rsidR="00E82202" w:rsidRPr="001A5D73" w:rsidRDefault="00E82202" w:rsidP="00C369EF">
      <w:pPr>
        <w:ind w:firstLine="851"/>
        <w:jc w:val="both"/>
      </w:pPr>
      <w:r w:rsidRPr="001A5D73">
        <w:t xml:space="preserve">O presente ofício finaliza com anexo da memória de cálculo de custo dos serviços acima citados bem como a tabela de preços com reajuste ora pleiteado, considerando a memória de cálculo dos custos dos novos serviços apropriados. </w:t>
      </w:r>
    </w:p>
    <w:p w:rsidR="00464D0C" w:rsidRDefault="00464D0C" w:rsidP="00C369EF">
      <w:pPr>
        <w:ind w:firstLine="851"/>
        <w:jc w:val="both"/>
      </w:pPr>
    </w:p>
    <w:p w:rsidR="00E82202" w:rsidRPr="001A5D73" w:rsidRDefault="00E82202" w:rsidP="00C369EF">
      <w:pPr>
        <w:ind w:firstLine="851"/>
        <w:jc w:val="both"/>
      </w:pPr>
      <w:r w:rsidRPr="001A5D73">
        <w:t xml:space="preserve">No segundo Ofício nº 10/2013, de 20 de março de 2013, encaminhado a pedido desta Agência, a qual solicitou na reunião do dia 14 de março de 2013 ajustes do período de acumulação e desta forma, a Autarquia passou a solicitar reajuste para 9,77%, sendo 6,77% oriundo do Índice Nacional de Preços ao Consumidor (INPC) acumulado de mar/2012 à fev/2013 (período correto e corrigido) e 3% para investimentos. </w:t>
      </w:r>
    </w:p>
    <w:p w:rsidR="00464D0C" w:rsidRDefault="00464D0C" w:rsidP="00C369EF">
      <w:pPr>
        <w:ind w:firstLine="851"/>
        <w:jc w:val="both"/>
      </w:pPr>
    </w:p>
    <w:p w:rsidR="00E82202" w:rsidRPr="001A5D73" w:rsidRDefault="00E82202" w:rsidP="00C369EF">
      <w:pPr>
        <w:ind w:firstLine="851"/>
        <w:jc w:val="both"/>
      </w:pPr>
      <w:r w:rsidRPr="001A5D73">
        <w:t>Para demonstração do percentual para investimentos, a Autarquia apresentou a inclusão das seguintes obras a serem realizadas no corrente exercício e contempladas no Plano Municipal de Saneamento, com valores estimados e ajuste nos volumes micromedido e faturado:</w:t>
      </w:r>
    </w:p>
    <w:p w:rsidR="00E82202" w:rsidRPr="001A5D73" w:rsidRDefault="00E82202" w:rsidP="00C369EF">
      <w:pPr>
        <w:ind w:firstLine="851"/>
        <w:jc w:val="both"/>
        <w:rPr>
          <w:b/>
        </w:rPr>
      </w:pPr>
    </w:p>
    <w:tbl>
      <w:tblPr>
        <w:tblStyle w:val="Tabelacomgrade"/>
        <w:tblW w:w="0" w:type="auto"/>
        <w:tblLook w:val="04A0" w:firstRow="1" w:lastRow="0" w:firstColumn="1" w:lastColumn="0" w:noHBand="0" w:noVBand="1"/>
      </w:tblPr>
      <w:tblGrid>
        <w:gridCol w:w="7338"/>
        <w:gridCol w:w="1987"/>
      </w:tblGrid>
      <w:tr w:rsidR="00E82202" w:rsidRPr="001A5D73" w:rsidTr="00BE089B">
        <w:tc>
          <w:tcPr>
            <w:tcW w:w="7338" w:type="dxa"/>
            <w:shd w:val="clear" w:color="auto" w:fill="8DB3E2" w:themeFill="text2" w:themeFillTint="66"/>
          </w:tcPr>
          <w:p w:rsidR="00E82202" w:rsidRPr="001A5D73" w:rsidRDefault="00E82202" w:rsidP="00BE089B">
            <w:pPr>
              <w:jc w:val="center"/>
              <w:rPr>
                <w:b/>
              </w:rPr>
            </w:pPr>
            <w:r w:rsidRPr="001A5D73">
              <w:rPr>
                <w:b/>
              </w:rPr>
              <w:t>Ações a serem implementadas</w:t>
            </w:r>
          </w:p>
        </w:tc>
        <w:tc>
          <w:tcPr>
            <w:tcW w:w="1987" w:type="dxa"/>
            <w:shd w:val="clear" w:color="auto" w:fill="8DB3E2" w:themeFill="text2" w:themeFillTint="66"/>
          </w:tcPr>
          <w:p w:rsidR="00E82202" w:rsidRPr="001A5D73" w:rsidRDefault="00E82202" w:rsidP="00BE089B">
            <w:pPr>
              <w:jc w:val="center"/>
              <w:rPr>
                <w:b/>
              </w:rPr>
            </w:pPr>
            <w:r w:rsidRPr="001A5D73">
              <w:rPr>
                <w:b/>
              </w:rPr>
              <w:t>R$</w:t>
            </w:r>
          </w:p>
        </w:tc>
      </w:tr>
      <w:tr w:rsidR="00E82202" w:rsidRPr="001A5D73" w:rsidTr="00BE089B">
        <w:tc>
          <w:tcPr>
            <w:tcW w:w="7338" w:type="dxa"/>
          </w:tcPr>
          <w:p w:rsidR="00E82202" w:rsidRPr="001A5D73" w:rsidRDefault="00E82202" w:rsidP="00BE089B">
            <w:r w:rsidRPr="001A5D73">
              <w:t>Substituição da rede de distribuição de água potável na rua Itajaí, trecho de 4,5 km rede PVC 60mm. Substituição rua Ambrósio Spengler trecho de 2,3km rede PVC 110mm. Substituição após rua até proximidades da obra da Ponte do Vale, trecho 2,2 km e tubulação PVC 150mm.</w:t>
            </w:r>
          </w:p>
        </w:tc>
        <w:tc>
          <w:tcPr>
            <w:tcW w:w="1987" w:type="dxa"/>
          </w:tcPr>
          <w:p w:rsidR="00E82202" w:rsidRPr="001A5D73" w:rsidRDefault="00E82202" w:rsidP="00BE089B">
            <w:pPr>
              <w:jc w:val="center"/>
            </w:pPr>
            <w:r w:rsidRPr="001A5D73">
              <w:t>230.000,00</w:t>
            </w:r>
          </w:p>
        </w:tc>
      </w:tr>
      <w:tr w:rsidR="00E82202" w:rsidRPr="001A5D73" w:rsidTr="00BE089B">
        <w:tc>
          <w:tcPr>
            <w:tcW w:w="7338" w:type="dxa"/>
          </w:tcPr>
          <w:p w:rsidR="00E82202" w:rsidRPr="001A5D73" w:rsidRDefault="00E82202" w:rsidP="00BE089B">
            <w:r w:rsidRPr="001A5D73">
              <w:t>Substituição da rede de distribuição de água potável na rua Luiz Franzói, bairro Margem Esquerda: 1 km rede PVC 150mm.</w:t>
            </w:r>
          </w:p>
        </w:tc>
        <w:tc>
          <w:tcPr>
            <w:tcW w:w="1987" w:type="dxa"/>
          </w:tcPr>
          <w:p w:rsidR="00E82202" w:rsidRPr="001A5D73" w:rsidRDefault="00E82202" w:rsidP="00BE089B">
            <w:pPr>
              <w:jc w:val="center"/>
            </w:pPr>
            <w:r w:rsidRPr="001A5D73">
              <w:t>70.000,00</w:t>
            </w:r>
          </w:p>
        </w:tc>
      </w:tr>
      <w:tr w:rsidR="00E82202" w:rsidRPr="001A5D73" w:rsidTr="00BE089B">
        <w:tc>
          <w:tcPr>
            <w:tcW w:w="7338" w:type="dxa"/>
          </w:tcPr>
          <w:p w:rsidR="00E82202" w:rsidRPr="001A5D73" w:rsidRDefault="00E82202" w:rsidP="00BE089B">
            <w:r w:rsidRPr="001A5D73">
              <w:t>Substituição da adutora de água tratada da ETA II – Bela vista até o reservatório, trecho de 1 km rede 200mm DEFOFO.</w:t>
            </w:r>
          </w:p>
        </w:tc>
        <w:tc>
          <w:tcPr>
            <w:tcW w:w="1987" w:type="dxa"/>
          </w:tcPr>
          <w:p w:rsidR="00E82202" w:rsidRPr="001A5D73" w:rsidRDefault="00E82202" w:rsidP="00BE089B">
            <w:pPr>
              <w:jc w:val="center"/>
            </w:pPr>
            <w:r w:rsidRPr="001A5D73">
              <w:t>100.000,00</w:t>
            </w:r>
          </w:p>
        </w:tc>
      </w:tr>
      <w:tr w:rsidR="00E82202" w:rsidRPr="001A5D73" w:rsidTr="00BE089B">
        <w:tc>
          <w:tcPr>
            <w:tcW w:w="7338" w:type="dxa"/>
          </w:tcPr>
          <w:p w:rsidR="00E82202" w:rsidRPr="001A5D73" w:rsidRDefault="00E82202" w:rsidP="00BE089B">
            <w:r w:rsidRPr="001A5D73">
              <w:t>Elaboração de projetos de demanda e disponibilidade de fontes de captação nos bairros Gaspar Alto e Alto Gasparinho, além de ampliação ETA V, investimento para 2013 e 2014 totalizando R$ 200 mil.</w:t>
            </w:r>
          </w:p>
        </w:tc>
        <w:tc>
          <w:tcPr>
            <w:tcW w:w="1987" w:type="dxa"/>
          </w:tcPr>
          <w:p w:rsidR="00E82202" w:rsidRPr="001A5D73" w:rsidRDefault="00E82202" w:rsidP="00BE089B">
            <w:pPr>
              <w:jc w:val="center"/>
            </w:pPr>
            <w:r w:rsidRPr="001A5D73">
              <w:t>100.000,00</w:t>
            </w:r>
          </w:p>
        </w:tc>
      </w:tr>
      <w:tr w:rsidR="00E82202" w:rsidRPr="001A5D73" w:rsidTr="00BE089B">
        <w:tc>
          <w:tcPr>
            <w:tcW w:w="7338" w:type="dxa"/>
          </w:tcPr>
          <w:p w:rsidR="00E82202" w:rsidRPr="001A5D73" w:rsidRDefault="00E82202" w:rsidP="00BE089B">
            <w:r w:rsidRPr="001A5D73">
              <w:t>Instalação de reservatório elevado capacidade de 10.000 l, no bairro Gasparinho.</w:t>
            </w:r>
          </w:p>
        </w:tc>
        <w:tc>
          <w:tcPr>
            <w:tcW w:w="1987" w:type="dxa"/>
          </w:tcPr>
          <w:p w:rsidR="00E82202" w:rsidRPr="001A5D73" w:rsidRDefault="00E82202" w:rsidP="00BE089B">
            <w:pPr>
              <w:jc w:val="center"/>
            </w:pPr>
            <w:r w:rsidRPr="001A5D73">
              <w:t>21.000,00</w:t>
            </w:r>
          </w:p>
        </w:tc>
      </w:tr>
      <w:tr w:rsidR="00E82202" w:rsidRPr="001A5D73" w:rsidTr="00BE089B">
        <w:tc>
          <w:tcPr>
            <w:tcW w:w="7338" w:type="dxa"/>
          </w:tcPr>
          <w:p w:rsidR="00E82202" w:rsidRPr="001A5D73" w:rsidRDefault="00E82202" w:rsidP="00BE089B">
            <w:r w:rsidRPr="001A5D73">
              <w:lastRenderedPageBreak/>
              <w:t>Aquisição de 4 motocicletas para realização de leitura em substituição as antigas.</w:t>
            </w:r>
          </w:p>
        </w:tc>
        <w:tc>
          <w:tcPr>
            <w:tcW w:w="1987" w:type="dxa"/>
          </w:tcPr>
          <w:p w:rsidR="00E82202" w:rsidRPr="001A5D73" w:rsidRDefault="00E82202" w:rsidP="00BE089B">
            <w:pPr>
              <w:jc w:val="center"/>
            </w:pPr>
            <w:r w:rsidRPr="001A5D73">
              <w:t>40.000,00</w:t>
            </w:r>
          </w:p>
        </w:tc>
      </w:tr>
      <w:tr w:rsidR="00E82202" w:rsidRPr="001A5D73" w:rsidTr="00BE089B">
        <w:tc>
          <w:tcPr>
            <w:tcW w:w="7338" w:type="dxa"/>
            <w:shd w:val="clear" w:color="auto" w:fill="8DB3E2" w:themeFill="text2" w:themeFillTint="66"/>
          </w:tcPr>
          <w:p w:rsidR="00E82202" w:rsidRPr="001A5D73" w:rsidRDefault="00E82202" w:rsidP="00BE089B">
            <w:pPr>
              <w:rPr>
                <w:b/>
              </w:rPr>
            </w:pPr>
            <w:r w:rsidRPr="001A5D73">
              <w:rPr>
                <w:b/>
              </w:rPr>
              <w:t>Total de investimentos para 2013</w:t>
            </w:r>
          </w:p>
        </w:tc>
        <w:tc>
          <w:tcPr>
            <w:tcW w:w="1987" w:type="dxa"/>
            <w:shd w:val="clear" w:color="auto" w:fill="8DB3E2" w:themeFill="text2" w:themeFillTint="66"/>
          </w:tcPr>
          <w:p w:rsidR="00E82202" w:rsidRPr="001A5D73" w:rsidRDefault="00E82202" w:rsidP="00BE089B">
            <w:pPr>
              <w:jc w:val="center"/>
              <w:rPr>
                <w:b/>
              </w:rPr>
            </w:pPr>
            <w:r w:rsidRPr="001A5D73">
              <w:rPr>
                <w:b/>
              </w:rPr>
              <w:t>561.000,00</w:t>
            </w:r>
          </w:p>
        </w:tc>
      </w:tr>
    </w:tbl>
    <w:p w:rsidR="00E82202" w:rsidRPr="001A5D73" w:rsidRDefault="00E82202" w:rsidP="00E82202">
      <w:pPr>
        <w:ind w:firstLine="851"/>
        <w:jc w:val="both"/>
        <w:rPr>
          <w:b/>
        </w:rPr>
      </w:pPr>
    </w:p>
    <w:p w:rsidR="008C680D" w:rsidRPr="001A5D73" w:rsidRDefault="00E82202" w:rsidP="008C680D">
      <w:pPr>
        <w:ind w:firstLine="851"/>
        <w:jc w:val="both"/>
        <w:rPr>
          <w:b/>
        </w:rPr>
      </w:pPr>
      <w:r w:rsidRPr="001A5D73">
        <w:rPr>
          <w:b/>
        </w:rPr>
        <w:t>Do Parecer:</w:t>
      </w:r>
    </w:p>
    <w:p w:rsidR="008C680D" w:rsidRPr="001A5D73" w:rsidRDefault="00E82202" w:rsidP="008C680D">
      <w:pPr>
        <w:ind w:firstLine="851"/>
        <w:jc w:val="both"/>
      </w:pPr>
      <w:r w:rsidRPr="001A5D73">
        <w:t xml:space="preserve">O período acumulado para aplicação do Índice Nacional de Preços ao Consumidor – INPC compreende os meses entre fevereiro/2012 a março/2013, acumulado nos últimos doze meses em 6,77 %, </w:t>
      </w:r>
      <w:r w:rsidR="008C680D" w:rsidRPr="001A5D73">
        <w:rPr>
          <w:bCs/>
          <w:sz w:val="23"/>
          <w:szCs w:val="23"/>
        </w:rPr>
        <w:t xml:space="preserve">ou seja, um espaço temporal de 12 (doze) meses, baseado nos termos do Artigo 37 da Lei Federal nº. 11.445/2007. Para o período acima aplicado, observou-se ainda o período aplicado no último reajuste, conforme o Procedimento Administrativo nº </w:t>
      </w:r>
      <w:r w:rsidRPr="001A5D73">
        <w:t>004/2012</w:t>
      </w:r>
      <w:r w:rsidR="008C680D" w:rsidRPr="001A5D73">
        <w:t xml:space="preserve"> desta Agência de Regulação.</w:t>
      </w:r>
    </w:p>
    <w:p w:rsidR="00464D0C" w:rsidRDefault="00464D0C" w:rsidP="00E82202">
      <w:pPr>
        <w:ind w:firstLine="851"/>
        <w:jc w:val="both"/>
      </w:pPr>
    </w:p>
    <w:p w:rsidR="0004544E" w:rsidRPr="001A5D73" w:rsidRDefault="00E82202" w:rsidP="00E82202">
      <w:pPr>
        <w:ind w:firstLine="851"/>
        <w:jc w:val="both"/>
      </w:pPr>
      <w:r w:rsidRPr="001A5D73">
        <w:t xml:space="preserve">A Agência de Regulação adotou para a apuração do índice de reajuste linear na tabela </w:t>
      </w:r>
      <w:r w:rsidR="00297F76" w:rsidRPr="001A5D73">
        <w:t>de preços dos serviço</w:t>
      </w:r>
      <w:r w:rsidR="0004544E" w:rsidRPr="001A5D73">
        <w:t>s</w:t>
      </w:r>
      <w:r w:rsidR="00297F76" w:rsidRPr="001A5D73">
        <w:t xml:space="preserve"> e tarifa de água </w:t>
      </w:r>
      <w:r w:rsidR="003D4E8D" w:rsidRPr="001A5D73">
        <w:t xml:space="preserve">o </w:t>
      </w:r>
      <w:r w:rsidR="005312A4" w:rsidRPr="001A5D73">
        <w:t>“</w:t>
      </w:r>
      <w:r w:rsidR="006F5EA0" w:rsidRPr="001A5D73">
        <w:t>c</w:t>
      </w:r>
      <w:r w:rsidR="003D4E8D" w:rsidRPr="001A5D73">
        <w:t xml:space="preserve">usto financeiro </w:t>
      </w:r>
      <w:r w:rsidR="005312A4" w:rsidRPr="001A5D73">
        <w:t xml:space="preserve">em regime </w:t>
      </w:r>
      <w:r w:rsidR="003D4E8D" w:rsidRPr="001A5D73">
        <w:t>de caixa</w:t>
      </w:r>
      <w:r w:rsidR="005312A4" w:rsidRPr="001A5D73">
        <w:t>”</w:t>
      </w:r>
      <w:r w:rsidR="003D4E8D" w:rsidRPr="001A5D73">
        <w:t xml:space="preserve"> por tratar-se de modelo conceitual mais simples para a regulação econômica</w:t>
      </w:r>
      <w:r w:rsidR="0004544E" w:rsidRPr="001A5D73">
        <w:t xml:space="preserve"> obtendo a tarifa média necessária para cobrir os desembolsos com a prestação dos serviços em cada período, acrescida de parcela relativa à remuneração do capital conforme o caso.</w:t>
      </w:r>
    </w:p>
    <w:p w:rsidR="00464D0C" w:rsidRDefault="00464D0C" w:rsidP="00670754">
      <w:pPr>
        <w:ind w:firstLine="851"/>
        <w:jc w:val="both"/>
      </w:pPr>
    </w:p>
    <w:p w:rsidR="009D4CFC" w:rsidRPr="001A5D73" w:rsidRDefault="009D4CFC" w:rsidP="00670754">
      <w:pPr>
        <w:ind w:firstLine="851"/>
        <w:jc w:val="both"/>
      </w:pPr>
      <w:r w:rsidRPr="001A5D73">
        <w:t xml:space="preserve">Conforme apostila Gestão Econômica-Financeira no Setor de </w:t>
      </w:r>
      <w:r w:rsidR="006F5EA0" w:rsidRPr="001A5D73">
        <w:t>S</w:t>
      </w:r>
      <w:r w:rsidRPr="001A5D73">
        <w:t>aneamento – ASSEMAE, João Batista Peixoto e Clemilda Rodrigues Ferreira</w:t>
      </w:r>
      <w:r w:rsidR="006F5EA0" w:rsidRPr="001A5D73">
        <w:t>,</w:t>
      </w:r>
      <w:r w:rsidRPr="001A5D73">
        <w:t xml:space="preserve"> </w:t>
      </w:r>
      <w:r w:rsidR="006F5EA0" w:rsidRPr="001A5D73">
        <w:t xml:space="preserve">(2011, </w:t>
      </w:r>
      <w:r w:rsidRPr="001A5D73">
        <w:t>p.75</w:t>
      </w:r>
      <w:r w:rsidR="006F5EA0" w:rsidRPr="001A5D73">
        <w:t>)</w:t>
      </w:r>
      <w:r w:rsidRPr="001A5D73">
        <w:t xml:space="preserve">, o </w:t>
      </w:r>
      <w:r w:rsidR="006F5EA0" w:rsidRPr="001A5D73">
        <w:t>c</w:t>
      </w:r>
      <w:r w:rsidRPr="001A5D73">
        <w:t xml:space="preserve">usto </w:t>
      </w:r>
      <w:r w:rsidR="006F5EA0" w:rsidRPr="001A5D73">
        <w:t>f</w:t>
      </w:r>
      <w:r w:rsidRPr="001A5D73">
        <w:t>inanceiro em regime de caixa é:</w:t>
      </w:r>
    </w:p>
    <w:p w:rsidR="009D4CFC" w:rsidRPr="001A5D73" w:rsidRDefault="009D4CFC" w:rsidP="009D4CFC">
      <w:pPr>
        <w:jc w:val="both"/>
      </w:pPr>
    </w:p>
    <w:p w:rsidR="002D309C" w:rsidRPr="001A5D73" w:rsidRDefault="0004544E" w:rsidP="006F5EA0">
      <w:pPr>
        <w:spacing w:line="240" w:lineRule="auto"/>
        <w:ind w:left="2832"/>
        <w:jc w:val="both"/>
        <w:rPr>
          <w:i/>
          <w:sz w:val="20"/>
          <w:szCs w:val="20"/>
        </w:rPr>
      </w:pPr>
      <w:r w:rsidRPr="001A5D73">
        <w:rPr>
          <w:i/>
          <w:sz w:val="20"/>
          <w:szCs w:val="20"/>
        </w:rPr>
        <w:t>Em razão dos objetivos econômicos inerentes a Administração Pública se aplica facilmente com alguma restrição conceitual sendo a amortização e remuneração do capital investi</w:t>
      </w:r>
      <w:r w:rsidR="009D4CFC" w:rsidRPr="001A5D73">
        <w:rPr>
          <w:i/>
          <w:sz w:val="20"/>
          <w:szCs w:val="20"/>
        </w:rPr>
        <w:t>d</w:t>
      </w:r>
      <w:r w:rsidRPr="001A5D73">
        <w:rPr>
          <w:i/>
          <w:sz w:val="20"/>
          <w:szCs w:val="20"/>
        </w:rPr>
        <w:t>o menores determinantes.</w:t>
      </w:r>
    </w:p>
    <w:p w:rsidR="0004544E" w:rsidRPr="001A5D73" w:rsidRDefault="0004544E" w:rsidP="006F5EA0">
      <w:pPr>
        <w:spacing w:line="240" w:lineRule="auto"/>
        <w:ind w:left="1981" w:firstLine="851"/>
        <w:jc w:val="both"/>
        <w:rPr>
          <w:i/>
          <w:sz w:val="20"/>
          <w:szCs w:val="20"/>
        </w:rPr>
      </w:pPr>
      <w:r w:rsidRPr="001A5D73">
        <w:rPr>
          <w:i/>
          <w:sz w:val="20"/>
          <w:szCs w:val="20"/>
        </w:rPr>
        <w:t>A f</w:t>
      </w:r>
      <w:r w:rsidR="009D4CFC" w:rsidRPr="001A5D73">
        <w:rPr>
          <w:i/>
          <w:sz w:val="20"/>
          <w:szCs w:val="20"/>
        </w:rPr>
        <w:t>ó</w:t>
      </w:r>
      <w:r w:rsidRPr="001A5D73">
        <w:rPr>
          <w:i/>
          <w:sz w:val="20"/>
          <w:szCs w:val="20"/>
        </w:rPr>
        <w:t>rmula básica é:</w:t>
      </w:r>
    </w:p>
    <w:p w:rsidR="0004544E" w:rsidRPr="00170664" w:rsidRDefault="0004544E" w:rsidP="006F5EA0">
      <w:pPr>
        <w:spacing w:line="240" w:lineRule="auto"/>
        <w:ind w:left="1981" w:firstLine="851"/>
        <w:jc w:val="both"/>
        <w:rPr>
          <w:i/>
          <w:sz w:val="20"/>
          <w:szCs w:val="20"/>
          <w:lang w:val="en-US"/>
        </w:rPr>
      </w:pPr>
      <w:r w:rsidRPr="00170664">
        <w:rPr>
          <w:i/>
          <w:sz w:val="20"/>
          <w:szCs w:val="20"/>
          <w:lang w:val="en-US"/>
        </w:rPr>
        <w:t>TCF = (DEX+ SDV+INF+RCP)/VF</w:t>
      </w:r>
    </w:p>
    <w:p w:rsidR="00F67912" w:rsidRPr="001A5D73" w:rsidRDefault="00F67912" w:rsidP="006F5EA0">
      <w:pPr>
        <w:spacing w:line="240" w:lineRule="auto"/>
        <w:ind w:left="1981" w:firstLine="851"/>
        <w:jc w:val="both"/>
        <w:rPr>
          <w:i/>
          <w:sz w:val="20"/>
          <w:szCs w:val="20"/>
        </w:rPr>
      </w:pPr>
      <w:r w:rsidRPr="001A5D73">
        <w:rPr>
          <w:i/>
          <w:sz w:val="20"/>
          <w:szCs w:val="20"/>
        </w:rPr>
        <w:t>Sendo:</w:t>
      </w:r>
    </w:p>
    <w:p w:rsidR="00F67912" w:rsidRPr="001A5D73" w:rsidRDefault="00F67912" w:rsidP="006F5EA0">
      <w:pPr>
        <w:spacing w:line="240" w:lineRule="auto"/>
        <w:ind w:left="1981" w:firstLine="851"/>
        <w:jc w:val="both"/>
        <w:rPr>
          <w:i/>
          <w:sz w:val="20"/>
          <w:szCs w:val="20"/>
        </w:rPr>
      </w:pPr>
      <w:r w:rsidRPr="001A5D73">
        <w:rPr>
          <w:i/>
          <w:sz w:val="20"/>
          <w:szCs w:val="20"/>
        </w:rPr>
        <w:t>TCF = Tarifa pelo Custo Financeiro;</w:t>
      </w:r>
    </w:p>
    <w:p w:rsidR="00F67912" w:rsidRPr="001A5D73" w:rsidRDefault="00F67912" w:rsidP="006F5EA0">
      <w:pPr>
        <w:spacing w:line="240" w:lineRule="auto"/>
        <w:ind w:left="1981" w:firstLine="851"/>
        <w:jc w:val="both"/>
        <w:rPr>
          <w:i/>
          <w:sz w:val="20"/>
          <w:szCs w:val="20"/>
        </w:rPr>
      </w:pPr>
      <w:r w:rsidRPr="001A5D73">
        <w:rPr>
          <w:i/>
          <w:sz w:val="20"/>
          <w:szCs w:val="20"/>
        </w:rPr>
        <w:t>DEX = Desembolsos com despesas de exploração;</w:t>
      </w:r>
    </w:p>
    <w:p w:rsidR="00F67912" w:rsidRPr="001A5D73" w:rsidRDefault="00F67912" w:rsidP="006F5EA0">
      <w:pPr>
        <w:spacing w:line="240" w:lineRule="auto"/>
        <w:ind w:left="1981" w:firstLine="851"/>
        <w:jc w:val="both"/>
        <w:rPr>
          <w:i/>
          <w:sz w:val="20"/>
          <w:szCs w:val="20"/>
        </w:rPr>
      </w:pPr>
      <w:r w:rsidRPr="001A5D73">
        <w:rPr>
          <w:i/>
          <w:sz w:val="20"/>
          <w:szCs w:val="20"/>
        </w:rPr>
        <w:t>SDV = Desembolsos com serviço da dívida (juros, encargos e amortizações)</w:t>
      </w:r>
    </w:p>
    <w:p w:rsidR="00F67912" w:rsidRPr="001A5D73" w:rsidRDefault="00F67912" w:rsidP="006F5EA0">
      <w:pPr>
        <w:spacing w:line="240" w:lineRule="auto"/>
        <w:ind w:left="2832"/>
        <w:jc w:val="both"/>
        <w:rPr>
          <w:i/>
          <w:sz w:val="20"/>
          <w:szCs w:val="20"/>
        </w:rPr>
      </w:pPr>
      <w:r w:rsidRPr="001A5D73">
        <w:rPr>
          <w:i/>
          <w:sz w:val="20"/>
          <w:szCs w:val="20"/>
        </w:rPr>
        <w:t xml:space="preserve">INF </w:t>
      </w:r>
      <w:r w:rsidR="009D4CFC" w:rsidRPr="001A5D73">
        <w:rPr>
          <w:i/>
          <w:sz w:val="20"/>
          <w:szCs w:val="20"/>
        </w:rPr>
        <w:t>= Investimentos não financ</w:t>
      </w:r>
      <w:r w:rsidRPr="001A5D73">
        <w:rPr>
          <w:i/>
          <w:sz w:val="20"/>
          <w:szCs w:val="20"/>
        </w:rPr>
        <w:t>iados (Investimentos totais menos ingressos de financiamentos e subvenções, inclusive de fundo especial próprio);</w:t>
      </w:r>
    </w:p>
    <w:p w:rsidR="00F67912" w:rsidRPr="001A5D73" w:rsidRDefault="00F67912" w:rsidP="006F5EA0">
      <w:pPr>
        <w:spacing w:line="240" w:lineRule="auto"/>
        <w:ind w:left="1981" w:firstLine="851"/>
        <w:jc w:val="both"/>
        <w:rPr>
          <w:i/>
          <w:sz w:val="20"/>
          <w:szCs w:val="20"/>
        </w:rPr>
      </w:pPr>
      <w:r w:rsidRPr="001A5D73">
        <w:rPr>
          <w:i/>
          <w:sz w:val="20"/>
          <w:szCs w:val="20"/>
        </w:rPr>
        <w:t>RCP = Remuneração do estoque de capital próprio;</w:t>
      </w:r>
    </w:p>
    <w:p w:rsidR="00F67912" w:rsidRPr="001A5D73" w:rsidRDefault="00F67912" w:rsidP="006F5EA0">
      <w:pPr>
        <w:spacing w:line="240" w:lineRule="auto"/>
        <w:ind w:left="1981" w:firstLine="851"/>
        <w:jc w:val="both"/>
        <w:rPr>
          <w:i/>
          <w:sz w:val="20"/>
          <w:szCs w:val="20"/>
        </w:rPr>
      </w:pPr>
      <w:r w:rsidRPr="001A5D73">
        <w:rPr>
          <w:i/>
          <w:sz w:val="20"/>
          <w:szCs w:val="20"/>
        </w:rPr>
        <w:t>VF = Volume Faturado.</w:t>
      </w:r>
    </w:p>
    <w:p w:rsidR="00F67912" w:rsidRPr="001A5D73" w:rsidRDefault="00F67912" w:rsidP="006F5EA0">
      <w:pPr>
        <w:spacing w:line="240" w:lineRule="auto"/>
        <w:ind w:left="2832"/>
        <w:jc w:val="both"/>
        <w:rPr>
          <w:i/>
          <w:sz w:val="20"/>
          <w:szCs w:val="20"/>
        </w:rPr>
      </w:pPr>
      <w:r w:rsidRPr="001A5D73">
        <w:rPr>
          <w:i/>
          <w:sz w:val="20"/>
          <w:szCs w:val="20"/>
        </w:rPr>
        <w:t>Os valores das tarifas obtidos normalmente são variáveis pra cada período, em razão do si</w:t>
      </w:r>
      <w:r w:rsidR="00F673BB" w:rsidRPr="001A5D73">
        <w:rPr>
          <w:i/>
          <w:sz w:val="20"/>
          <w:szCs w:val="20"/>
        </w:rPr>
        <w:t>s</w:t>
      </w:r>
      <w:r w:rsidRPr="001A5D73">
        <w:rPr>
          <w:i/>
          <w:sz w:val="20"/>
          <w:szCs w:val="20"/>
        </w:rPr>
        <w:t>tema de amortização adotado para o serviço da dívida, d</w:t>
      </w:r>
      <w:r w:rsidR="00F673BB" w:rsidRPr="001A5D73">
        <w:rPr>
          <w:i/>
          <w:sz w:val="20"/>
          <w:szCs w:val="20"/>
        </w:rPr>
        <w:t>a d</w:t>
      </w:r>
      <w:r w:rsidRPr="001A5D73">
        <w:rPr>
          <w:i/>
          <w:sz w:val="20"/>
          <w:szCs w:val="20"/>
        </w:rPr>
        <w:t>i</w:t>
      </w:r>
      <w:r w:rsidR="00F673BB" w:rsidRPr="001A5D73">
        <w:rPr>
          <w:i/>
          <w:sz w:val="20"/>
          <w:szCs w:val="20"/>
        </w:rPr>
        <w:t>s</w:t>
      </w:r>
      <w:r w:rsidRPr="001A5D73">
        <w:rPr>
          <w:i/>
          <w:sz w:val="20"/>
          <w:szCs w:val="20"/>
        </w:rPr>
        <w:t>tri</w:t>
      </w:r>
      <w:r w:rsidR="00F673BB" w:rsidRPr="001A5D73">
        <w:rPr>
          <w:i/>
          <w:sz w:val="20"/>
          <w:szCs w:val="20"/>
        </w:rPr>
        <w:t>buição dos investimentos em cada período e da evolução e participação relativa dos custos fixos.</w:t>
      </w:r>
    </w:p>
    <w:p w:rsidR="00F673BB" w:rsidRPr="001A5D73" w:rsidRDefault="00F673BB" w:rsidP="006F5EA0">
      <w:pPr>
        <w:spacing w:line="240" w:lineRule="auto"/>
        <w:ind w:left="2832"/>
        <w:jc w:val="both"/>
        <w:rPr>
          <w:i/>
          <w:sz w:val="20"/>
          <w:szCs w:val="20"/>
        </w:rPr>
      </w:pPr>
      <w:r w:rsidRPr="001A5D73">
        <w:rPr>
          <w:i/>
          <w:sz w:val="20"/>
          <w:szCs w:val="20"/>
        </w:rPr>
        <w:lastRenderedPageBreak/>
        <w:t>Adotando</w:t>
      </w:r>
      <w:r w:rsidR="009D4CFC" w:rsidRPr="001A5D73">
        <w:rPr>
          <w:i/>
          <w:sz w:val="20"/>
          <w:szCs w:val="20"/>
        </w:rPr>
        <w:t xml:space="preserve">-se </w:t>
      </w:r>
      <w:r w:rsidRPr="001A5D73">
        <w:rPr>
          <w:i/>
          <w:sz w:val="20"/>
          <w:szCs w:val="20"/>
        </w:rPr>
        <w:t>este modelo de regulação tarifária nos casos de delegação, deve-se substituir a variável RCP na fórmula básica o outra que represente as movimentações da conta Capital Próprio (Patrimônio Líquido)</w:t>
      </w:r>
    </w:p>
    <w:p w:rsidR="0056482D" w:rsidRPr="001A5D73" w:rsidRDefault="0056482D" w:rsidP="001A5D73">
      <w:pPr>
        <w:ind w:firstLine="851"/>
        <w:jc w:val="both"/>
      </w:pPr>
    </w:p>
    <w:p w:rsidR="00405EE3" w:rsidRPr="001A5D73" w:rsidRDefault="0056482D" w:rsidP="001A5D73">
      <w:pPr>
        <w:ind w:firstLine="851"/>
        <w:jc w:val="both"/>
      </w:pPr>
      <w:r w:rsidRPr="001A5D73">
        <w:t xml:space="preserve">Desta forma apresenta-se o fluxo de caixa da </w:t>
      </w:r>
      <w:r w:rsidR="001A5D73" w:rsidRPr="001A5D73">
        <w:t>A</w:t>
      </w:r>
      <w:r w:rsidRPr="001A5D73">
        <w:t>utarquia dos últimos cinco anos apresentando resultado ao fim d</w:t>
      </w:r>
      <w:r w:rsidR="00FE635A">
        <w:t>e cada</w:t>
      </w:r>
      <w:r w:rsidRPr="001A5D73">
        <w:t xml:space="preserve"> período</w:t>
      </w:r>
      <w:r w:rsidR="001A5D73" w:rsidRPr="001A5D73">
        <w:t>:</w:t>
      </w:r>
    </w:p>
    <w:p w:rsidR="0056482D" w:rsidRPr="001A5D73" w:rsidRDefault="0056482D" w:rsidP="001A5D73">
      <w:pPr>
        <w:ind w:firstLine="851"/>
        <w:jc w:val="both"/>
      </w:pPr>
    </w:p>
    <w:tbl>
      <w:tblPr>
        <w:tblStyle w:val="SombreamentoClaro"/>
        <w:tblW w:w="9322" w:type="dxa"/>
        <w:tblLook w:val="04A0" w:firstRow="1" w:lastRow="0" w:firstColumn="1" w:lastColumn="0" w:noHBand="0" w:noVBand="1"/>
      </w:tblPr>
      <w:tblGrid>
        <w:gridCol w:w="2579"/>
        <w:gridCol w:w="1313"/>
        <w:gridCol w:w="1313"/>
        <w:gridCol w:w="1328"/>
        <w:gridCol w:w="1269"/>
        <w:gridCol w:w="1520"/>
      </w:tblGrid>
      <w:tr w:rsidR="00405EE3" w:rsidRPr="001A5D73" w:rsidTr="0004544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533" w:type="dxa"/>
            <w:gridSpan w:val="4"/>
            <w:shd w:val="clear" w:color="auto" w:fill="8DB3E2" w:themeFill="text2" w:themeFillTint="66"/>
            <w:noWrap/>
            <w:hideMark/>
          </w:tcPr>
          <w:p w:rsidR="00405EE3" w:rsidRPr="001A5D73" w:rsidRDefault="00405EE3" w:rsidP="0004544E">
            <w:pPr>
              <w:spacing w:line="240" w:lineRule="auto"/>
              <w:rPr>
                <w:b w:val="0"/>
                <w:bCs w:val="0"/>
                <w:color w:val="000000"/>
                <w:sz w:val="22"/>
                <w:szCs w:val="22"/>
              </w:rPr>
            </w:pPr>
            <w:r w:rsidRPr="001A5D73">
              <w:rPr>
                <w:color w:val="000000"/>
                <w:sz w:val="22"/>
                <w:szCs w:val="22"/>
              </w:rPr>
              <w:t>FLUXO DE CAIXA DO PROGRAMA ÁGUA</w:t>
            </w:r>
          </w:p>
        </w:tc>
        <w:tc>
          <w:tcPr>
            <w:tcW w:w="1269" w:type="dxa"/>
            <w:shd w:val="clear" w:color="auto" w:fill="8DB3E2" w:themeFill="text2" w:themeFillTint="66"/>
            <w:noWrap/>
            <w:hideMark/>
          </w:tcPr>
          <w:p w:rsidR="00405EE3" w:rsidRPr="001A5D73" w:rsidRDefault="00405EE3" w:rsidP="00405EE3">
            <w:pPr>
              <w:spacing w:line="240" w:lineRule="auto"/>
              <w:cnfStyle w:val="100000000000" w:firstRow="1" w:lastRow="0" w:firstColumn="0" w:lastColumn="0" w:oddVBand="0" w:evenVBand="0" w:oddHBand="0" w:evenHBand="0" w:firstRowFirstColumn="0" w:firstRowLastColumn="0" w:lastRowFirstColumn="0" w:lastRowLastColumn="0"/>
              <w:rPr>
                <w:color w:val="000000"/>
                <w:sz w:val="22"/>
                <w:szCs w:val="22"/>
              </w:rPr>
            </w:pPr>
          </w:p>
        </w:tc>
        <w:tc>
          <w:tcPr>
            <w:tcW w:w="1520" w:type="dxa"/>
            <w:shd w:val="clear" w:color="auto" w:fill="8DB3E2" w:themeFill="text2" w:themeFillTint="66"/>
            <w:noWrap/>
            <w:hideMark/>
          </w:tcPr>
          <w:p w:rsidR="00405EE3" w:rsidRPr="001A5D73" w:rsidRDefault="00405EE3" w:rsidP="00405EE3">
            <w:pPr>
              <w:spacing w:line="240" w:lineRule="auto"/>
              <w:cnfStyle w:val="100000000000" w:firstRow="1" w:lastRow="0" w:firstColumn="0" w:lastColumn="0" w:oddVBand="0" w:evenVBand="0" w:oddHBand="0" w:evenHBand="0" w:firstRowFirstColumn="0" w:firstRowLastColumn="0" w:lastRowFirstColumn="0" w:lastRowLastColumn="0"/>
              <w:rPr>
                <w:color w:val="000000"/>
                <w:sz w:val="22"/>
                <w:szCs w:val="22"/>
              </w:rPr>
            </w:pPr>
          </w:p>
        </w:tc>
      </w:tr>
      <w:tr w:rsidR="00405EE3" w:rsidRPr="001A5D73" w:rsidTr="003834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38346C">
            <w:pPr>
              <w:spacing w:line="240" w:lineRule="auto"/>
              <w:rPr>
                <w:b w:val="0"/>
                <w:bCs w:val="0"/>
                <w:color w:val="000000"/>
                <w:sz w:val="20"/>
                <w:szCs w:val="20"/>
              </w:rPr>
            </w:pPr>
            <w:r w:rsidRPr="001A5D73">
              <w:rPr>
                <w:color w:val="000000"/>
                <w:sz w:val="20"/>
                <w:szCs w:val="20"/>
              </w:rPr>
              <w:t xml:space="preserve"> </w:t>
            </w: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2008</w:t>
            </w: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2009</w:t>
            </w:r>
          </w:p>
        </w:tc>
        <w:tc>
          <w:tcPr>
            <w:tcW w:w="1328"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2010</w:t>
            </w:r>
          </w:p>
        </w:tc>
        <w:tc>
          <w:tcPr>
            <w:tcW w:w="1269"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2011</w:t>
            </w:r>
          </w:p>
        </w:tc>
        <w:tc>
          <w:tcPr>
            <w:tcW w:w="1520"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2012</w:t>
            </w:r>
          </w:p>
        </w:tc>
      </w:tr>
      <w:tr w:rsidR="00405EE3" w:rsidRPr="001A5D73" w:rsidTr="0038346C">
        <w:trPr>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38346C" w:rsidP="00405EE3">
            <w:pPr>
              <w:spacing w:line="240" w:lineRule="auto"/>
              <w:rPr>
                <w:color w:val="000000"/>
                <w:sz w:val="20"/>
                <w:szCs w:val="20"/>
              </w:rPr>
            </w:pPr>
            <w:r w:rsidRPr="001A5D73">
              <w:rPr>
                <w:color w:val="000000"/>
                <w:sz w:val="20"/>
                <w:szCs w:val="20"/>
              </w:rPr>
              <w:t xml:space="preserve">Receita </w:t>
            </w:r>
            <w:r w:rsidR="00405EE3" w:rsidRPr="001A5D73">
              <w:rPr>
                <w:color w:val="000000"/>
                <w:sz w:val="20"/>
                <w:szCs w:val="20"/>
              </w:rPr>
              <w:t xml:space="preserve">Tarifa Água </w:t>
            </w: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5.985.317</w:t>
            </w: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6.576.206</w:t>
            </w:r>
          </w:p>
        </w:tc>
        <w:tc>
          <w:tcPr>
            <w:tcW w:w="1328"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7.601.315</w:t>
            </w:r>
          </w:p>
        </w:tc>
        <w:tc>
          <w:tcPr>
            <w:tcW w:w="1269"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8.087.361</w:t>
            </w:r>
          </w:p>
        </w:tc>
        <w:tc>
          <w:tcPr>
            <w:tcW w:w="1520"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9.021.183</w:t>
            </w:r>
          </w:p>
        </w:tc>
      </w:tr>
      <w:tr w:rsidR="00405EE3" w:rsidRPr="001A5D73" w:rsidTr="0038346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405EE3">
            <w:pPr>
              <w:spacing w:line="240" w:lineRule="auto"/>
              <w:rPr>
                <w:color w:val="000000"/>
                <w:sz w:val="20"/>
                <w:szCs w:val="20"/>
              </w:rPr>
            </w:pP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28"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69"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20"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405EE3" w:rsidRPr="001A5D73" w:rsidTr="0038346C">
        <w:trPr>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405EE3">
            <w:pPr>
              <w:spacing w:line="240" w:lineRule="auto"/>
              <w:rPr>
                <w:b w:val="0"/>
                <w:bCs w:val="0"/>
                <w:color w:val="000000"/>
                <w:sz w:val="20"/>
                <w:szCs w:val="20"/>
              </w:rPr>
            </w:pPr>
            <w:r w:rsidRPr="001A5D73">
              <w:rPr>
                <w:color w:val="000000"/>
                <w:sz w:val="20"/>
                <w:szCs w:val="20"/>
              </w:rPr>
              <w:t>Despesas</w:t>
            </w: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28"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9"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20"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405EE3" w:rsidRPr="001A5D73" w:rsidTr="003834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405EE3">
            <w:pPr>
              <w:spacing w:line="240" w:lineRule="auto"/>
              <w:rPr>
                <w:color w:val="000000"/>
                <w:sz w:val="20"/>
                <w:szCs w:val="20"/>
              </w:rPr>
            </w:pPr>
            <w:r w:rsidRPr="001A5D73">
              <w:rPr>
                <w:color w:val="000000"/>
                <w:sz w:val="20"/>
                <w:szCs w:val="20"/>
              </w:rPr>
              <w:t>Pessoal e Encargos</w:t>
            </w: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2.747.294</w:t>
            </w: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3.032.893</w:t>
            </w:r>
          </w:p>
        </w:tc>
        <w:tc>
          <w:tcPr>
            <w:tcW w:w="1328"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3.476.218</w:t>
            </w:r>
          </w:p>
        </w:tc>
        <w:tc>
          <w:tcPr>
            <w:tcW w:w="1269"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4.013.348</w:t>
            </w:r>
          </w:p>
        </w:tc>
        <w:tc>
          <w:tcPr>
            <w:tcW w:w="1520"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4.651.437,55</w:t>
            </w:r>
          </w:p>
        </w:tc>
      </w:tr>
      <w:tr w:rsidR="00405EE3" w:rsidRPr="001A5D73" w:rsidTr="0038346C">
        <w:trPr>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405EE3">
            <w:pPr>
              <w:spacing w:line="240" w:lineRule="auto"/>
              <w:rPr>
                <w:color w:val="000000"/>
                <w:sz w:val="20"/>
                <w:szCs w:val="20"/>
              </w:rPr>
            </w:pPr>
            <w:r w:rsidRPr="001A5D73">
              <w:rPr>
                <w:color w:val="000000"/>
                <w:sz w:val="20"/>
                <w:szCs w:val="20"/>
              </w:rPr>
              <w:t>Juros e Encargos</w:t>
            </w: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47.193</w:t>
            </w: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26.886</w:t>
            </w:r>
          </w:p>
        </w:tc>
        <w:tc>
          <w:tcPr>
            <w:tcW w:w="1328"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4.911</w:t>
            </w:r>
          </w:p>
        </w:tc>
        <w:tc>
          <w:tcPr>
            <w:tcW w:w="1269"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20"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405EE3" w:rsidRPr="001A5D73" w:rsidTr="003834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405EE3">
            <w:pPr>
              <w:spacing w:line="240" w:lineRule="auto"/>
              <w:rPr>
                <w:color w:val="000000"/>
                <w:sz w:val="20"/>
                <w:szCs w:val="20"/>
              </w:rPr>
            </w:pPr>
            <w:r w:rsidRPr="001A5D73">
              <w:rPr>
                <w:color w:val="000000"/>
                <w:sz w:val="20"/>
                <w:szCs w:val="20"/>
              </w:rPr>
              <w:t>Amortizações</w:t>
            </w: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190.433</w:t>
            </w: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224.823</w:t>
            </w:r>
          </w:p>
        </w:tc>
        <w:tc>
          <w:tcPr>
            <w:tcW w:w="1328"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157.777</w:t>
            </w:r>
          </w:p>
        </w:tc>
        <w:tc>
          <w:tcPr>
            <w:tcW w:w="1269"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39.429</w:t>
            </w:r>
          </w:p>
        </w:tc>
        <w:tc>
          <w:tcPr>
            <w:tcW w:w="1520"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42.680</w:t>
            </w:r>
          </w:p>
        </w:tc>
      </w:tr>
      <w:tr w:rsidR="00405EE3" w:rsidRPr="001A5D73" w:rsidTr="0038346C">
        <w:trPr>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405EE3">
            <w:pPr>
              <w:spacing w:line="240" w:lineRule="auto"/>
              <w:rPr>
                <w:color w:val="000000"/>
                <w:sz w:val="20"/>
                <w:szCs w:val="20"/>
              </w:rPr>
            </w:pPr>
            <w:r w:rsidRPr="001A5D73">
              <w:rPr>
                <w:color w:val="000000"/>
                <w:sz w:val="20"/>
                <w:szCs w:val="20"/>
              </w:rPr>
              <w:t>Manutenção</w:t>
            </w: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3.364.118</w:t>
            </w: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2.962.568</w:t>
            </w:r>
          </w:p>
        </w:tc>
        <w:tc>
          <w:tcPr>
            <w:tcW w:w="1328"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3.097.927</w:t>
            </w:r>
          </w:p>
        </w:tc>
        <w:tc>
          <w:tcPr>
            <w:tcW w:w="1269"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3.796.610</w:t>
            </w:r>
          </w:p>
        </w:tc>
        <w:tc>
          <w:tcPr>
            <w:tcW w:w="1520"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3.828.756</w:t>
            </w:r>
          </w:p>
        </w:tc>
      </w:tr>
      <w:tr w:rsidR="00405EE3" w:rsidRPr="001A5D73" w:rsidTr="003834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405EE3">
            <w:pPr>
              <w:spacing w:line="240" w:lineRule="auto"/>
              <w:rPr>
                <w:color w:val="000000"/>
                <w:sz w:val="20"/>
                <w:szCs w:val="20"/>
              </w:rPr>
            </w:pPr>
            <w:r w:rsidRPr="001A5D73">
              <w:rPr>
                <w:color w:val="000000"/>
                <w:sz w:val="20"/>
                <w:szCs w:val="20"/>
              </w:rPr>
              <w:t>Depreciação</w:t>
            </w: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28"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69"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20"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405EE3" w:rsidRPr="001A5D73" w:rsidTr="0038346C">
        <w:trPr>
          <w:trHeight w:val="290"/>
        </w:trPr>
        <w:tc>
          <w:tcPr>
            <w:cnfStyle w:val="001000000000" w:firstRow="0" w:lastRow="0" w:firstColumn="1" w:lastColumn="0" w:oddVBand="0" w:evenVBand="0" w:oddHBand="0" w:evenHBand="0" w:firstRowFirstColumn="0" w:firstRowLastColumn="0" w:lastRowFirstColumn="0" w:lastRowLastColumn="0"/>
            <w:tcW w:w="2579" w:type="dxa"/>
            <w:tcBorders>
              <w:bottom w:val="single" w:sz="4" w:space="0" w:color="auto"/>
            </w:tcBorders>
            <w:noWrap/>
            <w:hideMark/>
          </w:tcPr>
          <w:p w:rsidR="00405EE3" w:rsidRPr="001A5D73" w:rsidRDefault="00405EE3" w:rsidP="00405EE3">
            <w:pPr>
              <w:spacing w:line="240" w:lineRule="auto"/>
              <w:rPr>
                <w:color w:val="000000"/>
                <w:sz w:val="20"/>
                <w:szCs w:val="20"/>
              </w:rPr>
            </w:pPr>
            <w:r w:rsidRPr="001A5D73">
              <w:rPr>
                <w:color w:val="000000"/>
                <w:sz w:val="20"/>
                <w:szCs w:val="20"/>
              </w:rPr>
              <w:t>Investimentos</w:t>
            </w:r>
          </w:p>
        </w:tc>
        <w:tc>
          <w:tcPr>
            <w:tcW w:w="1313" w:type="dxa"/>
            <w:tcBorders>
              <w:bottom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537.312</w:t>
            </w:r>
          </w:p>
        </w:tc>
        <w:tc>
          <w:tcPr>
            <w:tcW w:w="1313" w:type="dxa"/>
            <w:tcBorders>
              <w:bottom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172.956</w:t>
            </w:r>
          </w:p>
        </w:tc>
        <w:tc>
          <w:tcPr>
            <w:tcW w:w="1328" w:type="dxa"/>
            <w:tcBorders>
              <w:bottom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237.617</w:t>
            </w:r>
          </w:p>
        </w:tc>
        <w:tc>
          <w:tcPr>
            <w:tcW w:w="1269" w:type="dxa"/>
            <w:tcBorders>
              <w:bottom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385.966</w:t>
            </w:r>
          </w:p>
        </w:tc>
        <w:tc>
          <w:tcPr>
            <w:tcW w:w="1520" w:type="dxa"/>
            <w:tcBorders>
              <w:bottom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493.471</w:t>
            </w:r>
          </w:p>
        </w:tc>
      </w:tr>
      <w:tr w:rsidR="00405EE3" w:rsidRPr="001A5D73" w:rsidTr="003834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79" w:type="dxa"/>
            <w:tcBorders>
              <w:top w:val="single" w:sz="4" w:space="0" w:color="auto"/>
              <w:left w:val="single" w:sz="4" w:space="0" w:color="auto"/>
              <w:bottom w:val="single" w:sz="4" w:space="0" w:color="auto"/>
            </w:tcBorders>
            <w:noWrap/>
            <w:hideMark/>
          </w:tcPr>
          <w:p w:rsidR="00405EE3" w:rsidRPr="001A5D73" w:rsidRDefault="00405EE3" w:rsidP="00405EE3">
            <w:pPr>
              <w:spacing w:line="240" w:lineRule="auto"/>
              <w:rPr>
                <w:color w:val="000000"/>
                <w:sz w:val="20"/>
                <w:szCs w:val="20"/>
              </w:rPr>
            </w:pPr>
            <w:r w:rsidRPr="001A5D73">
              <w:rPr>
                <w:color w:val="000000"/>
                <w:sz w:val="20"/>
                <w:szCs w:val="20"/>
              </w:rPr>
              <w:t>Total Desp</w:t>
            </w:r>
            <w:r w:rsidR="0038346C" w:rsidRPr="001A5D73">
              <w:rPr>
                <w:color w:val="000000"/>
                <w:sz w:val="20"/>
                <w:szCs w:val="20"/>
              </w:rPr>
              <w:t>.</w:t>
            </w:r>
            <w:r w:rsidRPr="001A5D73">
              <w:rPr>
                <w:color w:val="000000"/>
                <w:sz w:val="20"/>
                <w:szCs w:val="20"/>
              </w:rPr>
              <w:t xml:space="preserve"> Água</w:t>
            </w:r>
          </w:p>
        </w:tc>
        <w:tc>
          <w:tcPr>
            <w:tcW w:w="1313" w:type="dxa"/>
            <w:tcBorders>
              <w:top w:val="single" w:sz="4" w:space="0" w:color="auto"/>
              <w:bottom w:val="single" w:sz="4" w:space="0" w:color="auto"/>
            </w:tcBorders>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6.886.350</w:t>
            </w:r>
          </w:p>
        </w:tc>
        <w:tc>
          <w:tcPr>
            <w:tcW w:w="1313" w:type="dxa"/>
            <w:tcBorders>
              <w:top w:val="single" w:sz="4" w:space="0" w:color="auto"/>
              <w:bottom w:val="single" w:sz="4" w:space="0" w:color="auto"/>
            </w:tcBorders>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6.420.126</w:t>
            </w:r>
          </w:p>
        </w:tc>
        <w:tc>
          <w:tcPr>
            <w:tcW w:w="1328" w:type="dxa"/>
            <w:tcBorders>
              <w:top w:val="single" w:sz="4" w:space="0" w:color="auto"/>
              <w:bottom w:val="single" w:sz="4" w:space="0" w:color="auto"/>
            </w:tcBorders>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6.974.451</w:t>
            </w:r>
          </w:p>
        </w:tc>
        <w:tc>
          <w:tcPr>
            <w:tcW w:w="1269" w:type="dxa"/>
            <w:tcBorders>
              <w:top w:val="single" w:sz="4" w:space="0" w:color="auto"/>
              <w:bottom w:val="single" w:sz="4" w:space="0" w:color="auto"/>
            </w:tcBorders>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8.235.353</w:t>
            </w:r>
          </w:p>
        </w:tc>
        <w:tc>
          <w:tcPr>
            <w:tcW w:w="1520" w:type="dxa"/>
            <w:tcBorders>
              <w:top w:val="single" w:sz="4" w:space="0" w:color="auto"/>
              <w:bottom w:val="single" w:sz="4" w:space="0" w:color="auto"/>
              <w:right w:val="single" w:sz="4" w:space="0" w:color="auto"/>
            </w:tcBorders>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A5D73">
              <w:rPr>
                <w:b/>
                <w:bCs/>
                <w:color w:val="000000"/>
                <w:sz w:val="20"/>
                <w:szCs w:val="20"/>
              </w:rPr>
              <w:t>9.016.345</w:t>
            </w:r>
          </w:p>
        </w:tc>
      </w:tr>
      <w:tr w:rsidR="00405EE3" w:rsidRPr="001A5D73" w:rsidTr="0038346C">
        <w:trPr>
          <w:trHeight w:val="290"/>
        </w:trPr>
        <w:tc>
          <w:tcPr>
            <w:cnfStyle w:val="001000000000" w:firstRow="0" w:lastRow="0" w:firstColumn="1" w:lastColumn="0" w:oddVBand="0" w:evenVBand="0" w:oddHBand="0" w:evenHBand="0" w:firstRowFirstColumn="0" w:firstRowLastColumn="0" w:lastRowFirstColumn="0" w:lastRowLastColumn="0"/>
            <w:tcW w:w="2579" w:type="dxa"/>
            <w:tcBorders>
              <w:top w:val="single" w:sz="4" w:space="0" w:color="auto"/>
            </w:tcBorders>
            <w:noWrap/>
            <w:hideMark/>
          </w:tcPr>
          <w:p w:rsidR="00405EE3" w:rsidRPr="001A5D73" w:rsidRDefault="00405EE3" w:rsidP="00405EE3">
            <w:pPr>
              <w:spacing w:line="240" w:lineRule="auto"/>
              <w:rPr>
                <w:color w:val="000000"/>
                <w:sz w:val="20"/>
                <w:szCs w:val="20"/>
              </w:rPr>
            </w:pPr>
            <w:r w:rsidRPr="001A5D73">
              <w:rPr>
                <w:color w:val="000000"/>
                <w:sz w:val="20"/>
                <w:szCs w:val="20"/>
              </w:rPr>
              <w:t>Resultado</w:t>
            </w:r>
          </w:p>
        </w:tc>
        <w:tc>
          <w:tcPr>
            <w:tcW w:w="1313" w:type="dxa"/>
            <w:tcBorders>
              <w:top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1A5D73">
              <w:rPr>
                <w:color w:val="FF0000"/>
                <w:sz w:val="20"/>
                <w:szCs w:val="20"/>
              </w:rPr>
              <w:t>(901.033)</w:t>
            </w:r>
          </w:p>
        </w:tc>
        <w:tc>
          <w:tcPr>
            <w:tcW w:w="1313" w:type="dxa"/>
            <w:tcBorders>
              <w:top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156.080</w:t>
            </w:r>
          </w:p>
        </w:tc>
        <w:tc>
          <w:tcPr>
            <w:tcW w:w="1328" w:type="dxa"/>
            <w:tcBorders>
              <w:top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626.864</w:t>
            </w:r>
          </w:p>
        </w:tc>
        <w:tc>
          <w:tcPr>
            <w:tcW w:w="1269" w:type="dxa"/>
            <w:tcBorders>
              <w:top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1A5D73">
              <w:rPr>
                <w:color w:val="FF0000"/>
                <w:sz w:val="20"/>
                <w:szCs w:val="20"/>
              </w:rPr>
              <w:t>(147.992)</w:t>
            </w:r>
          </w:p>
        </w:tc>
        <w:tc>
          <w:tcPr>
            <w:tcW w:w="1520" w:type="dxa"/>
            <w:tcBorders>
              <w:top w:val="single" w:sz="4" w:space="0" w:color="auto"/>
            </w:tcBorders>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4.838</w:t>
            </w:r>
          </w:p>
        </w:tc>
      </w:tr>
      <w:tr w:rsidR="00405EE3" w:rsidRPr="001A5D73" w:rsidTr="003834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3D4E8D">
            <w:pPr>
              <w:spacing w:line="240" w:lineRule="auto"/>
              <w:rPr>
                <w:color w:val="000000"/>
                <w:sz w:val="20"/>
                <w:szCs w:val="20"/>
              </w:rPr>
            </w:pPr>
            <w:r w:rsidRPr="001A5D73">
              <w:rPr>
                <w:color w:val="000000"/>
                <w:sz w:val="20"/>
                <w:szCs w:val="20"/>
              </w:rPr>
              <w:t xml:space="preserve">Evolução </w:t>
            </w:r>
            <w:r w:rsidR="003D4E8D" w:rsidRPr="001A5D73">
              <w:rPr>
                <w:color w:val="000000"/>
                <w:sz w:val="20"/>
                <w:szCs w:val="20"/>
              </w:rPr>
              <w:t>d</w:t>
            </w:r>
            <w:r w:rsidRPr="001A5D73">
              <w:rPr>
                <w:color w:val="000000"/>
                <w:sz w:val="20"/>
                <w:szCs w:val="20"/>
              </w:rPr>
              <w:t>espesas totais</w:t>
            </w:r>
          </w:p>
        </w:tc>
        <w:tc>
          <w:tcPr>
            <w:tcW w:w="1313"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13" w:type="dxa"/>
            <w:noWrap/>
            <w:hideMark/>
          </w:tcPr>
          <w:p w:rsidR="00405EE3" w:rsidRPr="001A5D73" w:rsidRDefault="001A5D7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Pr>
                <w:color w:val="FF0000"/>
                <w:sz w:val="20"/>
                <w:szCs w:val="20"/>
              </w:rPr>
              <w:t>(</w:t>
            </w:r>
            <w:r w:rsidR="003D4E8D" w:rsidRPr="001A5D73">
              <w:rPr>
                <w:color w:val="FF0000"/>
                <w:sz w:val="20"/>
                <w:szCs w:val="20"/>
              </w:rPr>
              <w:t>6,77)</w:t>
            </w:r>
          </w:p>
        </w:tc>
        <w:tc>
          <w:tcPr>
            <w:tcW w:w="1328"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8,63</w:t>
            </w:r>
          </w:p>
        </w:tc>
        <w:tc>
          <w:tcPr>
            <w:tcW w:w="1269"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18,08</w:t>
            </w:r>
          </w:p>
        </w:tc>
        <w:tc>
          <w:tcPr>
            <w:tcW w:w="1520" w:type="dxa"/>
            <w:noWrap/>
            <w:hideMark/>
          </w:tcPr>
          <w:p w:rsidR="00405EE3" w:rsidRPr="001A5D73" w:rsidRDefault="00405EE3" w:rsidP="0038346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5D73">
              <w:rPr>
                <w:color w:val="000000"/>
                <w:sz w:val="20"/>
                <w:szCs w:val="20"/>
              </w:rPr>
              <w:t>9,48</w:t>
            </w:r>
          </w:p>
        </w:tc>
      </w:tr>
      <w:tr w:rsidR="00405EE3" w:rsidRPr="001A5D73" w:rsidTr="0038346C">
        <w:trPr>
          <w:trHeight w:val="290"/>
        </w:trPr>
        <w:tc>
          <w:tcPr>
            <w:cnfStyle w:val="001000000000" w:firstRow="0" w:lastRow="0" w:firstColumn="1" w:lastColumn="0" w:oddVBand="0" w:evenVBand="0" w:oddHBand="0" w:evenHBand="0" w:firstRowFirstColumn="0" w:firstRowLastColumn="0" w:lastRowFirstColumn="0" w:lastRowLastColumn="0"/>
            <w:tcW w:w="2579" w:type="dxa"/>
            <w:noWrap/>
            <w:hideMark/>
          </w:tcPr>
          <w:p w:rsidR="00405EE3" w:rsidRPr="001A5D73" w:rsidRDefault="00405EE3" w:rsidP="00405EE3">
            <w:pPr>
              <w:spacing w:line="240" w:lineRule="auto"/>
              <w:rPr>
                <w:color w:val="000000"/>
                <w:sz w:val="20"/>
                <w:szCs w:val="20"/>
              </w:rPr>
            </w:pPr>
            <w:r w:rsidRPr="001A5D73">
              <w:rPr>
                <w:color w:val="000000"/>
                <w:sz w:val="20"/>
                <w:szCs w:val="20"/>
              </w:rPr>
              <w:t>Média</w:t>
            </w: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13"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28"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9"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20" w:type="dxa"/>
            <w:noWrap/>
            <w:hideMark/>
          </w:tcPr>
          <w:p w:rsidR="00405EE3" w:rsidRPr="001A5D73" w:rsidRDefault="00405EE3" w:rsidP="0038346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5D73">
              <w:rPr>
                <w:color w:val="000000"/>
                <w:sz w:val="20"/>
                <w:szCs w:val="20"/>
              </w:rPr>
              <w:t>7,36</w:t>
            </w:r>
          </w:p>
        </w:tc>
      </w:tr>
    </w:tbl>
    <w:p w:rsidR="00464D0C" w:rsidRDefault="00464D0C" w:rsidP="001A5D73">
      <w:pPr>
        <w:ind w:firstLine="851"/>
        <w:jc w:val="both"/>
      </w:pPr>
    </w:p>
    <w:p w:rsidR="0038346C" w:rsidRPr="001A5D73" w:rsidRDefault="0056482D" w:rsidP="001A5D73">
      <w:pPr>
        <w:ind w:firstLine="851"/>
        <w:jc w:val="both"/>
      </w:pPr>
      <w:r w:rsidRPr="001A5D73">
        <w:t>Nos anos de 2008 e 2011 apresentaram resultados negativos, no primeiro ano justificado pela calamidade enquanto que no ano de 2011 não apresentou-se justificativa para o resultado do programa da água.</w:t>
      </w:r>
    </w:p>
    <w:p w:rsidR="00464D0C" w:rsidRDefault="00464D0C" w:rsidP="001A5D73">
      <w:pPr>
        <w:ind w:firstLine="851"/>
        <w:jc w:val="both"/>
      </w:pPr>
    </w:p>
    <w:p w:rsidR="0038346C" w:rsidRPr="001A5D73" w:rsidRDefault="0056482D" w:rsidP="001A5D73">
      <w:pPr>
        <w:ind w:firstLine="851"/>
        <w:jc w:val="both"/>
      </w:pPr>
      <w:r w:rsidRPr="001A5D73">
        <w:t>A seguir elabora-se planilha com os custos unitários</w:t>
      </w:r>
      <w:r w:rsidR="00E441D8" w:rsidRPr="001A5D73">
        <w:t xml:space="preserve"> da tarifa de água por m3, o total das despesas de exploração, serviços da dívida e investimentos dividido pelo metro cúbico faturado. A conta de depreciação que em tese seria a despesa necessária para repor o ativo patrimonial que pelo uso causa desgaste, não foi apresentado, como forma de minimizar os impactos com a ausência da depreciação foi inclusa os investimos.</w:t>
      </w:r>
    </w:p>
    <w:p w:rsidR="00AB4826" w:rsidRPr="001A5D73" w:rsidRDefault="00AB4826" w:rsidP="001A5D73">
      <w:pPr>
        <w:ind w:firstLine="851"/>
        <w:jc w:val="both"/>
      </w:pPr>
    </w:p>
    <w:tbl>
      <w:tblPr>
        <w:tblW w:w="0" w:type="auto"/>
        <w:tblInd w:w="55" w:type="dxa"/>
        <w:tblCellMar>
          <w:left w:w="70" w:type="dxa"/>
          <w:right w:w="70" w:type="dxa"/>
        </w:tblCellMar>
        <w:tblLook w:val="04A0" w:firstRow="1" w:lastRow="0" w:firstColumn="1" w:lastColumn="0" w:noHBand="0" w:noVBand="1"/>
      </w:tblPr>
      <w:tblGrid>
        <w:gridCol w:w="2920"/>
        <w:gridCol w:w="1240"/>
        <w:gridCol w:w="1190"/>
        <w:gridCol w:w="1340"/>
        <w:gridCol w:w="1340"/>
        <w:gridCol w:w="1240"/>
      </w:tblGrid>
      <w:tr w:rsidR="008E10B1" w:rsidRPr="001A5D73" w:rsidTr="008E10B1">
        <w:trPr>
          <w:trHeight w:val="298"/>
        </w:trPr>
        <w:tc>
          <w:tcPr>
            <w:tcW w:w="0" w:type="auto"/>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E10B1" w:rsidRPr="001A5D73" w:rsidRDefault="008E10B1" w:rsidP="008E10B1">
            <w:pPr>
              <w:spacing w:line="240" w:lineRule="auto"/>
              <w:jc w:val="center"/>
              <w:rPr>
                <w:color w:val="000000"/>
                <w:sz w:val="28"/>
                <w:szCs w:val="28"/>
              </w:rPr>
            </w:pPr>
            <w:r w:rsidRPr="001A5D73">
              <w:rPr>
                <w:color w:val="000000"/>
                <w:sz w:val="28"/>
                <w:szCs w:val="28"/>
              </w:rPr>
              <w:t>Preços Unitários da Tarifa de Água</w:t>
            </w:r>
          </w:p>
        </w:tc>
      </w:tr>
      <w:tr w:rsidR="002D3CB2" w:rsidRPr="001A5D73" w:rsidTr="009F468F">
        <w:trPr>
          <w:trHeight w:val="2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9F468F" w:rsidP="009F468F">
            <w:pPr>
              <w:spacing w:line="240" w:lineRule="auto"/>
              <w:jc w:val="center"/>
              <w:rPr>
                <w:b/>
                <w:color w:val="000000"/>
                <w:sz w:val="20"/>
                <w:szCs w:val="20"/>
              </w:rPr>
            </w:pPr>
            <w:r w:rsidRPr="001A5D73">
              <w:rPr>
                <w:b/>
                <w:color w:val="000000"/>
                <w:sz w:val="20"/>
                <w:szCs w:val="20"/>
              </w:rPr>
              <w:t>Desembo</w:t>
            </w:r>
            <w:r w:rsidR="008E10B1" w:rsidRPr="001A5D73">
              <w:rPr>
                <w:b/>
                <w:color w:val="000000"/>
                <w:sz w:val="20"/>
                <w:szCs w:val="20"/>
              </w:rPr>
              <w:t>l</w:t>
            </w:r>
            <w:r w:rsidRPr="001A5D73">
              <w:rPr>
                <w:b/>
                <w:color w:val="000000"/>
                <w:sz w:val="20"/>
                <w:szCs w:val="20"/>
              </w:rPr>
              <w:t>sos/</w:t>
            </w:r>
            <w:r w:rsidR="002D3CB2" w:rsidRPr="001A5D73">
              <w:rPr>
                <w:b/>
                <w:color w:val="000000"/>
                <w:sz w:val="20"/>
                <w:szCs w:val="20"/>
              </w:rPr>
              <w:t>Volumes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rsidP="002D3CB2">
            <w:pPr>
              <w:spacing w:line="240" w:lineRule="auto"/>
              <w:jc w:val="center"/>
              <w:rPr>
                <w:b/>
                <w:color w:val="000000"/>
                <w:sz w:val="20"/>
                <w:szCs w:val="20"/>
              </w:rPr>
            </w:pPr>
            <w:r w:rsidRPr="001A5D73">
              <w:rPr>
                <w:b/>
                <w:color w:val="000000"/>
                <w:sz w:val="20"/>
                <w:szCs w:val="20"/>
              </w:rPr>
              <w:t>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rsidP="002D3CB2">
            <w:pPr>
              <w:spacing w:line="240" w:lineRule="auto"/>
              <w:jc w:val="center"/>
              <w:rPr>
                <w:b/>
                <w:color w:val="000000"/>
                <w:sz w:val="20"/>
                <w:szCs w:val="20"/>
              </w:rPr>
            </w:pPr>
            <w:r w:rsidRPr="001A5D73">
              <w:rPr>
                <w:b/>
                <w:color w:val="000000"/>
                <w:sz w:val="20"/>
                <w:szCs w:val="20"/>
              </w:rPr>
              <w:t>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rsidP="002D3CB2">
            <w:pPr>
              <w:spacing w:line="240" w:lineRule="auto"/>
              <w:jc w:val="center"/>
              <w:rPr>
                <w:b/>
                <w:color w:val="000000"/>
                <w:sz w:val="20"/>
                <w:szCs w:val="20"/>
              </w:rPr>
            </w:pPr>
            <w:r w:rsidRPr="001A5D73">
              <w:rPr>
                <w:b/>
                <w:color w:val="000000"/>
                <w:sz w:val="20"/>
                <w:szCs w:val="20"/>
              </w:rPr>
              <w:t>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rsidP="002D3CB2">
            <w:pPr>
              <w:spacing w:line="240" w:lineRule="auto"/>
              <w:jc w:val="center"/>
              <w:rPr>
                <w:b/>
                <w:color w:val="000000"/>
                <w:sz w:val="20"/>
                <w:szCs w:val="20"/>
              </w:rPr>
            </w:pPr>
            <w:r w:rsidRPr="001A5D73">
              <w:rPr>
                <w:b/>
                <w:color w:val="000000"/>
                <w:sz w:val="20"/>
                <w:szCs w:val="20"/>
              </w:rPr>
              <w:t>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rsidP="002D3CB2">
            <w:pPr>
              <w:spacing w:line="240" w:lineRule="auto"/>
              <w:jc w:val="center"/>
              <w:rPr>
                <w:b/>
                <w:color w:val="000000"/>
                <w:sz w:val="20"/>
                <w:szCs w:val="20"/>
              </w:rPr>
            </w:pPr>
            <w:r w:rsidRPr="001A5D73">
              <w:rPr>
                <w:b/>
                <w:color w:val="000000"/>
                <w:sz w:val="20"/>
                <w:szCs w:val="20"/>
              </w:rPr>
              <w:t>2012</w:t>
            </w:r>
          </w:p>
        </w:tc>
      </w:tr>
      <w:tr w:rsidR="002D3CB2" w:rsidRPr="001A5D73" w:rsidTr="009F468F">
        <w:trPr>
          <w:trHeight w:val="2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pPr>
              <w:rPr>
                <w:color w:val="000000"/>
                <w:sz w:val="20"/>
                <w:szCs w:val="20"/>
              </w:rPr>
            </w:pPr>
            <w:r w:rsidRPr="001A5D73">
              <w:rPr>
                <w:color w:val="000000"/>
                <w:sz w:val="20"/>
                <w:szCs w:val="20"/>
              </w:rPr>
              <w:t>Total Desp</w:t>
            </w:r>
            <w:r w:rsidR="009F468F" w:rsidRPr="001A5D73">
              <w:rPr>
                <w:color w:val="000000"/>
                <w:sz w:val="20"/>
                <w:szCs w:val="20"/>
              </w:rPr>
              <w:t>esa</w:t>
            </w:r>
            <w:r w:rsidRPr="001A5D73">
              <w:rPr>
                <w:color w:val="000000"/>
                <w:sz w:val="20"/>
                <w:szCs w:val="20"/>
              </w:rPr>
              <w:t xml:space="preserve"> Água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pPr>
              <w:rPr>
                <w:bCs/>
                <w:color w:val="000000"/>
                <w:sz w:val="20"/>
                <w:szCs w:val="20"/>
              </w:rPr>
            </w:pPr>
            <w:r w:rsidRPr="001A5D73">
              <w:rPr>
                <w:bCs/>
                <w:color w:val="000000"/>
                <w:sz w:val="20"/>
                <w:szCs w:val="20"/>
              </w:rPr>
              <w:t xml:space="preserve">   6.886.350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pPr>
              <w:rPr>
                <w:bCs/>
                <w:color w:val="000000"/>
                <w:sz w:val="20"/>
                <w:szCs w:val="20"/>
              </w:rPr>
            </w:pPr>
            <w:r w:rsidRPr="001A5D73">
              <w:rPr>
                <w:bCs/>
                <w:color w:val="000000"/>
                <w:sz w:val="20"/>
                <w:szCs w:val="20"/>
              </w:rPr>
              <w:t xml:space="preserve"> 6.420.126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pPr>
              <w:rPr>
                <w:bCs/>
                <w:color w:val="000000"/>
                <w:sz w:val="20"/>
                <w:szCs w:val="20"/>
              </w:rPr>
            </w:pPr>
            <w:r w:rsidRPr="001A5D73">
              <w:rPr>
                <w:bCs/>
                <w:color w:val="000000"/>
                <w:sz w:val="20"/>
                <w:szCs w:val="20"/>
              </w:rPr>
              <w:t xml:space="preserve">    6.974.451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pPr>
              <w:rPr>
                <w:bCs/>
                <w:color w:val="000000"/>
                <w:sz w:val="20"/>
                <w:szCs w:val="20"/>
              </w:rPr>
            </w:pPr>
            <w:r w:rsidRPr="001A5D73">
              <w:rPr>
                <w:bCs/>
                <w:color w:val="000000"/>
                <w:sz w:val="20"/>
                <w:szCs w:val="20"/>
              </w:rPr>
              <w:t xml:space="preserve">    8.235.353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3CB2" w:rsidRPr="001A5D73" w:rsidRDefault="002D3CB2">
            <w:pPr>
              <w:rPr>
                <w:bCs/>
                <w:color w:val="000000"/>
                <w:sz w:val="20"/>
                <w:szCs w:val="20"/>
              </w:rPr>
            </w:pPr>
            <w:r w:rsidRPr="001A5D73">
              <w:rPr>
                <w:bCs/>
                <w:color w:val="000000"/>
                <w:sz w:val="20"/>
                <w:szCs w:val="20"/>
              </w:rPr>
              <w:t xml:space="preserve">  9.016.345 </w:t>
            </w:r>
          </w:p>
        </w:tc>
      </w:tr>
      <w:tr w:rsidR="00F666F4" w:rsidRPr="001A5D73" w:rsidTr="009F468F">
        <w:trPr>
          <w:trHeight w:val="2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Volume Faturado (m3/ano)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3.255.000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3.441.070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3.370.200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3.145.510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F666F4" w:rsidP="00F666F4">
            <w:pPr>
              <w:spacing w:line="240" w:lineRule="auto"/>
              <w:rPr>
                <w:color w:val="000000"/>
                <w:sz w:val="20"/>
                <w:szCs w:val="20"/>
              </w:rPr>
            </w:pPr>
            <w:r w:rsidRPr="001A5D73">
              <w:rPr>
                <w:color w:val="000000"/>
                <w:sz w:val="20"/>
                <w:szCs w:val="20"/>
              </w:rPr>
              <w:t xml:space="preserve">  </w:t>
            </w:r>
            <w:r w:rsidR="009454EF" w:rsidRPr="001A5D73">
              <w:rPr>
                <w:color w:val="000000"/>
                <w:sz w:val="20"/>
                <w:szCs w:val="20"/>
              </w:rPr>
              <w:t xml:space="preserve">  3.429.980 </w:t>
            </w:r>
          </w:p>
        </w:tc>
      </w:tr>
      <w:tr w:rsidR="00324612" w:rsidRPr="001A5D73" w:rsidTr="009F468F">
        <w:trPr>
          <w:trHeight w:val="298"/>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2D3CB2">
            <w:pPr>
              <w:spacing w:line="240" w:lineRule="auto"/>
              <w:rPr>
                <w:b/>
                <w:bCs/>
                <w:color w:val="000000"/>
                <w:sz w:val="20"/>
                <w:szCs w:val="20"/>
              </w:rPr>
            </w:pPr>
            <w:r w:rsidRPr="001A5D73">
              <w:rPr>
                <w:b/>
                <w:bCs/>
                <w:color w:val="000000"/>
                <w:sz w:val="20"/>
                <w:szCs w:val="20"/>
              </w:rPr>
              <w:t xml:space="preserve">Tarifa </w:t>
            </w:r>
            <w:r w:rsidR="002D3CB2" w:rsidRPr="001A5D73">
              <w:rPr>
                <w:b/>
                <w:bCs/>
                <w:color w:val="000000"/>
                <w:sz w:val="20"/>
                <w:szCs w:val="20"/>
              </w:rPr>
              <w:t>calculada</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2,12 </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1,87 </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F666F4" w:rsidP="009454EF">
            <w:pPr>
              <w:spacing w:line="240" w:lineRule="auto"/>
              <w:rPr>
                <w:color w:val="000000"/>
                <w:sz w:val="20"/>
                <w:szCs w:val="20"/>
              </w:rPr>
            </w:pPr>
            <w:r w:rsidRPr="001A5D73">
              <w:rPr>
                <w:color w:val="000000"/>
                <w:sz w:val="20"/>
                <w:szCs w:val="20"/>
              </w:rPr>
              <w:t xml:space="preserve"> </w:t>
            </w:r>
            <w:r w:rsidR="009454EF" w:rsidRPr="001A5D73">
              <w:rPr>
                <w:color w:val="000000"/>
                <w:sz w:val="20"/>
                <w:szCs w:val="20"/>
              </w:rPr>
              <w:t xml:space="preserve">                2,07 </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F666F4" w:rsidP="009454EF">
            <w:pPr>
              <w:spacing w:line="240" w:lineRule="auto"/>
              <w:rPr>
                <w:color w:val="000000"/>
                <w:sz w:val="20"/>
                <w:szCs w:val="20"/>
              </w:rPr>
            </w:pPr>
            <w:r w:rsidRPr="001A5D73">
              <w:rPr>
                <w:color w:val="000000"/>
                <w:sz w:val="20"/>
                <w:szCs w:val="20"/>
              </w:rPr>
              <w:t xml:space="preserve"> </w:t>
            </w:r>
            <w:r w:rsidR="009454EF" w:rsidRPr="001A5D73">
              <w:rPr>
                <w:color w:val="000000"/>
                <w:sz w:val="20"/>
                <w:szCs w:val="20"/>
              </w:rPr>
              <w:t xml:space="preserve">                2,62 </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2,63 </w:t>
            </w:r>
          </w:p>
        </w:tc>
      </w:tr>
      <w:tr w:rsidR="00F666F4" w:rsidRPr="001A5D73" w:rsidTr="009F468F">
        <w:trPr>
          <w:trHeight w:val="29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lastRenderedPageBreak/>
              <w:t>Tarifa Aplicada</w:t>
            </w:r>
            <w:r w:rsidR="00F666F4" w:rsidRPr="001A5D73">
              <w:rPr>
                <w:color w:val="000000"/>
                <w:sz w:val="20"/>
                <w:szCs w:val="20"/>
              </w:rPr>
              <w:t xml:space="preserve"> decreto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454EF" w:rsidRPr="001A5D73" w:rsidRDefault="009454EF" w:rsidP="009454EF">
            <w:pPr>
              <w:spacing w:line="240" w:lineRule="auto"/>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1,84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1,93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2,05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2,16 </w:t>
            </w:r>
          </w:p>
        </w:tc>
      </w:tr>
      <w:tr w:rsidR="00F666F4" w:rsidRPr="001A5D73" w:rsidTr="009F468F">
        <w:trPr>
          <w:trHeight w:val="2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F666F4" w:rsidP="002D3CB2">
            <w:pPr>
              <w:spacing w:line="240" w:lineRule="auto"/>
              <w:rPr>
                <w:color w:val="000000"/>
                <w:sz w:val="20"/>
                <w:szCs w:val="20"/>
              </w:rPr>
            </w:pPr>
            <w:r w:rsidRPr="001A5D73">
              <w:rPr>
                <w:color w:val="000000"/>
                <w:sz w:val="20"/>
                <w:szCs w:val="20"/>
              </w:rPr>
              <w:t>Variação apurada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6F4" w:rsidRPr="001A5D73" w:rsidRDefault="00F666F4" w:rsidP="00F666F4">
            <w:pPr>
              <w:spacing w:line="240" w:lineRule="auto"/>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F666F4" w:rsidP="00F666F4">
            <w:pPr>
              <w:spacing w:line="240" w:lineRule="auto"/>
              <w:jc w:val="right"/>
              <w:rPr>
                <w:color w:val="000000"/>
                <w:sz w:val="20"/>
                <w:szCs w:val="20"/>
              </w:rPr>
            </w:pPr>
            <w:r w:rsidRPr="001A5D73">
              <w:rPr>
                <w:color w:val="000000"/>
                <w:sz w:val="20"/>
                <w:szCs w:val="20"/>
              </w:rPr>
              <w:t>1,23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F666F4" w:rsidP="00F666F4">
            <w:pPr>
              <w:spacing w:line="240" w:lineRule="auto"/>
              <w:jc w:val="right"/>
              <w:rPr>
                <w:color w:val="000000"/>
                <w:sz w:val="20"/>
                <w:szCs w:val="20"/>
              </w:rPr>
            </w:pPr>
            <w:r w:rsidRPr="001A5D73">
              <w:rPr>
                <w:color w:val="000000"/>
                <w:sz w:val="20"/>
                <w:szCs w:val="20"/>
              </w:rPr>
              <w:t>7,17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F666F4" w:rsidP="00F666F4">
            <w:pPr>
              <w:spacing w:line="240" w:lineRule="auto"/>
              <w:jc w:val="right"/>
              <w:rPr>
                <w:color w:val="000000"/>
                <w:sz w:val="20"/>
                <w:szCs w:val="20"/>
              </w:rPr>
            </w:pPr>
            <w:r w:rsidRPr="001A5D73">
              <w:rPr>
                <w:color w:val="000000"/>
                <w:sz w:val="20"/>
                <w:szCs w:val="20"/>
              </w:rPr>
              <w:t>27,71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F666F4" w:rsidP="00F666F4">
            <w:pPr>
              <w:spacing w:line="240" w:lineRule="auto"/>
              <w:jc w:val="right"/>
              <w:rPr>
                <w:color w:val="000000"/>
                <w:sz w:val="20"/>
                <w:szCs w:val="20"/>
              </w:rPr>
            </w:pPr>
            <w:r w:rsidRPr="001A5D73">
              <w:rPr>
                <w:color w:val="000000"/>
                <w:sz w:val="20"/>
                <w:szCs w:val="20"/>
              </w:rPr>
              <w:t>21,7</w:t>
            </w:r>
          </w:p>
        </w:tc>
      </w:tr>
      <w:tr w:rsidR="002D3CB2" w:rsidRPr="001A5D73" w:rsidTr="009F468F">
        <w:trPr>
          <w:trHeight w:val="298"/>
        </w:trPr>
        <w:tc>
          <w:tcPr>
            <w:tcW w:w="0" w:type="auto"/>
            <w:tcBorders>
              <w:top w:val="single" w:sz="4" w:space="0" w:color="auto"/>
              <w:bottom w:val="single" w:sz="4" w:space="0" w:color="auto"/>
            </w:tcBorders>
            <w:shd w:val="clear" w:color="auto" w:fill="auto"/>
            <w:noWrap/>
            <w:vAlign w:val="bottom"/>
          </w:tcPr>
          <w:p w:rsidR="002D3CB2" w:rsidRPr="001A5D73" w:rsidRDefault="002D3CB2" w:rsidP="009454EF">
            <w:pPr>
              <w:spacing w:line="240" w:lineRule="auto"/>
              <w:rPr>
                <w:b/>
                <w:bCs/>
                <w:color w:val="000000"/>
                <w:sz w:val="20"/>
                <w:szCs w:val="20"/>
              </w:rPr>
            </w:pPr>
          </w:p>
        </w:tc>
        <w:tc>
          <w:tcPr>
            <w:tcW w:w="0" w:type="auto"/>
            <w:tcBorders>
              <w:top w:val="single" w:sz="4" w:space="0" w:color="auto"/>
              <w:bottom w:val="single" w:sz="4" w:space="0" w:color="auto"/>
            </w:tcBorders>
            <w:shd w:val="clear" w:color="auto" w:fill="auto"/>
            <w:noWrap/>
            <w:vAlign w:val="bottom"/>
          </w:tcPr>
          <w:p w:rsidR="002D3CB2" w:rsidRPr="001A5D73" w:rsidRDefault="002D3CB2" w:rsidP="00F666F4">
            <w:pPr>
              <w:spacing w:line="240" w:lineRule="auto"/>
              <w:jc w:val="right"/>
              <w:rPr>
                <w:color w:val="000000"/>
                <w:sz w:val="20"/>
                <w:szCs w:val="20"/>
              </w:rPr>
            </w:pPr>
          </w:p>
        </w:tc>
        <w:tc>
          <w:tcPr>
            <w:tcW w:w="0" w:type="auto"/>
            <w:tcBorders>
              <w:top w:val="single" w:sz="4" w:space="0" w:color="auto"/>
              <w:bottom w:val="single" w:sz="4" w:space="0" w:color="auto"/>
            </w:tcBorders>
            <w:shd w:val="clear" w:color="auto" w:fill="auto"/>
            <w:noWrap/>
            <w:vAlign w:val="bottom"/>
          </w:tcPr>
          <w:p w:rsidR="002D3CB2" w:rsidRPr="001A5D73" w:rsidRDefault="002D3CB2" w:rsidP="00F666F4">
            <w:pPr>
              <w:spacing w:line="240" w:lineRule="auto"/>
              <w:jc w:val="right"/>
              <w:rPr>
                <w:color w:val="000000"/>
                <w:sz w:val="20"/>
                <w:szCs w:val="20"/>
              </w:rPr>
            </w:pPr>
          </w:p>
        </w:tc>
        <w:tc>
          <w:tcPr>
            <w:tcW w:w="0" w:type="auto"/>
            <w:tcBorders>
              <w:top w:val="single" w:sz="4" w:space="0" w:color="auto"/>
              <w:bottom w:val="single" w:sz="4" w:space="0" w:color="auto"/>
            </w:tcBorders>
            <w:shd w:val="clear" w:color="auto" w:fill="auto"/>
            <w:noWrap/>
            <w:vAlign w:val="bottom"/>
          </w:tcPr>
          <w:p w:rsidR="002D3CB2" w:rsidRPr="001A5D73" w:rsidRDefault="002D3CB2" w:rsidP="00F666F4">
            <w:pPr>
              <w:spacing w:line="240" w:lineRule="auto"/>
              <w:jc w:val="right"/>
              <w:rPr>
                <w:color w:val="000000"/>
                <w:sz w:val="20"/>
                <w:szCs w:val="20"/>
              </w:rPr>
            </w:pPr>
          </w:p>
        </w:tc>
        <w:tc>
          <w:tcPr>
            <w:tcW w:w="0" w:type="auto"/>
            <w:tcBorders>
              <w:top w:val="single" w:sz="4" w:space="0" w:color="auto"/>
              <w:left w:val="nil"/>
              <w:bottom w:val="single" w:sz="4" w:space="0" w:color="auto"/>
            </w:tcBorders>
            <w:shd w:val="clear" w:color="auto" w:fill="auto"/>
            <w:noWrap/>
            <w:vAlign w:val="bottom"/>
          </w:tcPr>
          <w:p w:rsidR="002D3CB2" w:rsidRPr="001A5D73" w:rsidRDefault="002D3CB2" w:rsidP="00F666F4">
            <w:pPr>
              <w:spacing w:line="240" w:lineRule="auto"/>
              <w:jc w:val="right"/>
              <w:rPr>
                <w:color w:val="000000"/>
                <w:sz w:val="20"/>
                <w:szCs w:val="20"/>
              </w:rPr>
            </w:pPr>
          </w:p>
        </w:tc>
        <w:tc>
          <w:tcPr>
            <w:tcW w:w="0" w:type="auto"/>
            <w:tcBorders>
              <w:top w:val="single" w:sz="4" w:space="0" w:color="auto"/>
              <w:left w:val="nil"/>
              <w:bottom w:val="single" w:sz="4" w:space="0" w:color="auto"/>
            </w:tcBorders>
            <w:shd w:val="clear" w:color="auto" w:fill="auto"/>
            <w:noWrap/>
            <w:vAlign w:val="bottom"/>
          </w:tcPr>
          <w:p w:rsidR="002D3CB2" w:rsidRPr="001A5D73" w:rsidRDefault="002D3CB2" w:rsidP="00F666F4">
            <w:pPr>
              <w:spacing w:line="240" w:lineRule="auto"/>
              <w:jc w:val="right"/>
              <w:rPr>
                <w:color w:val="000000"/>
                <w:sz w:val="20"/>
                <w:szCs w:val="20"/>
              </w:rPr>
            </w:pPr>
          </w:p>
        </w:tc>
      </w:tr>
      <w:tr w:rsidR="00F666F4" w:rsidRPr="001A5D73" w:rsidTr="009F468F">
        <w:trPr>
          <w:trHeight w:val="2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9454EF">
            <w:pPr>
              <w:spacing w:line="240" w:lineRule="auto"/>
              <w:rPr>
                <w:b/>
                <w:bCs/>
                <w:color w:val="000000"/>
                <w:sz w:val="20"/>
                <w:szCs w:val="20"/>
              </w:rPr>
            </w:pPr>
            <w:r w:rsidRPr="001A5D73">
              <w:rPr>
                <w:b/>
                <w:bCs/>
                <w:color w:val="000000"/>
                <w:sz w:val="20"/>
                <w:szCs w:val="20"/>
              </w:rPr>
              <w:t>Volume Tratado (m3/ano)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F666F4">
            <w:pPr>
              <w:spacing w:line="240" w:lineRule="auto"/>
              <w:jc w:val="right"/>
              <w:rPr>
                <w:color w:val="000000"/>
                <w:sz w:val="20"/>
                <w:szCs w:val="20"/>
              </w:rPr>
            </w:pPr>
            <w:r w:rsidRPr="001A5D73">
              <w:rPr>
                <w:color w:val="000000"/>
                <w:sz w:val="20"/>
                <w:szCs w:val="20"/>
              </w:rPr>
              <w:t xml:space="preserve">     3.497.000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F666F4">
            <w:pPr>
              <w:spacing w:line="240" w:lineRule="auto"/>
              <w:jc w:val="right"/>
              <w:rPr>
                <w:color w:val="000000"/>
                <w:sz w:val="20"/>
                <w:szCs w:val="20"/>
              </w:rPr>
            </w:pPr>
            <w:r w:rsidRPr="001A5D73">
              <w:rPr>
                <w:color w:val="000000"/>
                <w:sz w:val="20"/>
                <w:szCs w:val="20"/>
              </w:rPr>
              <w:t xml:space="preserve">    3.704.250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F666F4">
            <w:pPr>
              <w:spacing w:line="240" w:lineRule="auto"/>
              <w:jc w:val="right"/>
              <w:rPr>
                <w:color w:val="000000"/>
                <w:sz w:val="20"/>
                <w:szCs w:val="20"/>
              </w:rPr>
            </w:pPr>
            <w:r w:rsidRPr="001A5D73">
              <w:rPr>
                <w:color w:val="000000"/>
                <w:sz w:val="20"/>
                <w:szCs w:val="20"/>
              </w:rPr>
              <w:t xml:space="preserve">      3.716.600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F666F4">
            <w:pPr>
              <w:spacing w:line="240" w:lineRule="auto"/>
              <w:jc w:val="right"/>
              <w:rPr>
                <w:color w:val="000000"/>
                <w:sz w:val="20"/>
                <w:szCs w:val="20"/>
              </w:rPr>
            </w:pPr>
            <w:r w:rsidRPr="001A5D73">
              <w:rPr>
                <w:color w:val="000000"/>
                <w:sz w:val="20"/>
                <w:szCs w:val="20"/>
              </w:rPr>
              <w:t xml:space="preserve">       3.757.670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F666F4">
            <w:pPr>
              <w:spacing w:line="240" w:lineRule="auto"/>
              <w:jc w:val="right"/>
              <w:rPr>
                <w:color w:val="000000"/>
                <w:sz w:val="20"/>
                <w:szCs w:val="20"/>
              </w:rPr>
            </w:pPr>
            <w:r w:rsidRPr="001A5D73">
              <w:rPr>
                <w:color w:val="000000"/>
                <w:sz w:val="20"/>
                <w:szCs w:val="20"/>
              </w:rPr>
              <w:t xml:space="preserve">    4.433.320 </w:t>
            </w:r>
          </w:p>
        </w:tc>
      </w:tr>
      <w:tr w:rsidR="00324612" w:rsidRPr="001A5D73" w:rsidTr="009F468F">
        <w:trPr>
          <w:trHeight w:val="298"/>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2D3CB2">
            <w:pPr>
              <w:spacing w:line="240" w:lineRule="auto"/>
              <w:rPr>
                <w:color w:val="000000"/>
                <w:sz w:val="20"/>
                <w:szCs w:val="20"/>
              </w:rPr>
            </w:pPr>
            <w:r w:rsidRPr="001A5D73">
              <w:rPr>
                <w:color w:val="000000"/>
                <w:sz w:val="20"/>
                <w:szCs w:val="20"/>
              </w:rPr>
              <w:t>Tarifa produção</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1,97</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1,73</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1,88</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2,19</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2,03</w:t>
            </w:r>
          </w:p>
        </w:tc>
      </w:tr>
      <w:tr w:rsidR="00F666F4" w:rsidRPr="001A5D73" w:rsidTr="009F468F">
        <w:trPr>
          <w:trHeight w:val="298"/>
        </w:trPr>
        <w:tc>
          <w:tcPr>
            <w:tcW w:w="0" w:type="auto"/>
            <w:tcBorders>
              <w:top w:val="nil"/>
              <w:left w:val="nil"/>
              <w:bottom w:val="single" w:sz="4" w:space="0" w:color="auto"/>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r>
      <w:tr w:rsidR="00F666F4" w:rsidRPr="001A5D73" w:rsidTr="009F468F">
        <w:trPr>
          <w:trHeight w:val="2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9454EF">
            <w:pPr>
              <w:spacing w:line="240" w:lineRule="auto"/>
              <w:rPr>
                <w:b/>
                <w:bCs/>
                <w:color w:val="000000"/>
                <w:sz w:val="20"/>
                <w:szCs w:val="20"/>
              </w:rPr>
            </w:pPr>
            <w:r w:rsidRPr="001A5D73">
              <w:rPr>
                <w:b/>
                <w:bCs/>
                <w:color w:val="000000"/>
                <w:sz w:val="20"/>
                <w:szCs w:val="20"/>
              </w:rPr>
              <w:t>Volume Microm. (m3/ano)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2D3CB2">
            <w:pPr>
              <w:spacing w:line="240" w:lineRule="auto"/>
              <w:jc w:val="right"/>
              <w:rPr>
                <w:color w:val="000000"/>
                <w:sz w:val="20"/>
                <w:szCs w:val="20"/>
              </w:rPr>
            </w:pPr>
            <w:r w:rsidRPr="001A5D73">
              <w:rPr>
                <w:color w:val="000000"/>
                <w:sz w:val="20"/>
                <w:szCs w:val="20"/>
              </w:rPr>
              <w:t xml:space="preserve">     2.844.000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2D3CB2">
            <w:pPr>
              <w:spacing w:line="240" w:lineRule="auto"/>
              <w:jc w:val="right"/>
              <w:rPr>
                <w:color w:val="000000"/>
                <w:sz w:val="20"/>
                <w:szCs w:val="20"/>
              </w:rPr>
            </w:pPr>
            <w:r w:rsidRPr="001A5D73">
              <w:rPr>
                <w:color w:val="000000"/>
                <w:sz w:val="20"/>
                <w:szCs w:val="20"/>
              </w:rPr>
              <w:t xml:space="preserve">    3.177.860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2D3CB2">
            <w:pPr>
              <w:spacing w:line="240" w:lineRule="auto"/>
              <w:jc w:val="right"/>
              <w:rPr>
                <w:color w:val="000000"/>
                <w:sz w:val="20"/>
                <w:szCs w:val="20"/>
              </w:rPr>
            </w:pPr>
            <w:r w:rsidRPr="001A5D73">
              <w:rPr>
                <w:color w:val="000000"/>
                <w:sz w:val="20"/>
                <w:szCs w:val="20"/>
              </w:rPr>
              <w:t xml:space="preserve">      3.027.900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2D3CB2">
            <w:pPr>
              <w:spacing w:line="240" w:lineRule="auto"/>
              <w:jc w:val="right"/>
              <w:rPr>
                <w:color w:val="000000"/>
                <w:sz w:val="20"/>
                <w:szCs w:val="20"/>
              </w:rPr>
            </w:pPr>
            <w:r w:rsidRPr="001A5D73">
              <w:rPr>
                <w:color w:val="000000"/>
                <w:sz w:val="20"/>
                <w:szCs w:val="20"/>
              </w:rPr>
              <w:t xml:space="preserve">       2.872.120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4EF" w:rsidRPr="001A5D73" w:rsidRDefault="009454EF" w:rsidP="002D3CB2">
            <w:pPr>
              <w:spacing w:line="240" w:lineRule="auto"/>
              <w:jc w:val="right"/>
              <w:rPr>
                <w:color w:val="000000"/>
                <w:sz w:val="20"/>
                <w:szCs w:val="20"/>
              </w:rPr>
            </w:pPr>
            <w:r w:rsidRPr="001A5D73">
              <w:rPr>
                <w:color w:val="000000"/>
                <w:sz w:val="20"/>
                <w:szCs w:val="20"/>
              </w:rPr>
              <w:t xml:space="preserve">    3.074.580 </w:t>
            </w:r>
          </w:p>
        </w:tc>
      </w:tr>
      <w:tr w:rsidR="00324612" w:rsidRPr="001A5D73" w:rsidTr="009F468F">
        <w:trPr>
          <w:trHeight w:val="298"/>
        </w:trPr>
        <w:tc>
          <w:tcPr>
            <w:tcW w:w="0" w:type="auto"/>
            <w:tcBorders>
              <w:top w:val="single" w:sz="4" w:space="0" w:color="auto"/>
              <w:left w:val="single" w:sz="4" w:space="0" w:color="auto"/>
              <w:bottom w:val="single" w:sz="4" w:space="0" w:color="auto"/>
              <w:right w:val="nil"/>
            </w:tcBorders>
            <w:shd w:val="clear" w:color="000000" w:fill="BFBFBF"/>
            <w:noWrap/>
            <w:vAlign w:val="bottom"/>
            <w:hideMark/>
          </w:tcPr>
          <w:p w:rsidR="009454EF" w:rsidRPr="001A5D73" w:rsidRDefault="009454EF" w:rsidP="002D3CB2">
            <w:pPr>
              <w:spacing w:line="240" w:lineRule="auto"/>
              <w:rPr>
                <w:color w:val="000000"/>
                <w:sz w:val="20"/>
                <w:szCs w:val="20"/>
              </w:rPr>
            </w:pPr>
            <w:r w:rsidRPr="001A5D73">
              <w:rPr>
                <w:color w:val="000000"/>
                <w:sz w:val="20"/>
                <w:szCs w:val="20"/>
              </w:rPr>
              <w:t>Tarifa</w:t>
            </w:r>
            <w:r w:rsidR="002D3CB2" w:rsidRPr="001A5D73">
              <w:rPr>
                <w:color w:val="000000"/>
                <w:sz w:val="20"/>
                <w:szCs w:val="20"/>
              </w:rPr>
              <w:t xml:space="preserve"> </w:t>
            </w:r>
            <w:r w:rsidRPr="001A5D73">
              <w:rPr>
                <w:color w:val="000000"/>
                <w:sz w:val="20"/>
                <w:szCs w:val="20"/>
              </w:rPr>
              <w:t>m</w:t>
            </w:r>
            <w:r w:rsidR="002D3CB2" w:rsidRPr="001A5D73">
              <w:rPr>
                <w:color w:val="000000"/>
                <w:sz w:val="20"/>
                <w:szCs w:val="20"/>
              </w:rPr>
              <w:t>icromedida</w:t>
            </w:r>
          </w:p>
        </w:tc>
        <w:tc>
          <w:tcPr>
            <w:tcW w:w="0" w:type="auto"/>
            <w:tcBorders>
              <w:top w:val="single" w:sz="4" w:space="0" w:color="auto"/>
              <w:left w:val="nil"/>
              <w:bottom w:val="single" w:sz="4" w:space="0" w:color="auto"/>
              <w:right w:val="nil"/>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2,42</w:t>
            </w:r>
          </w:p>
        </w:tc>
        <w:tc>
          <w:tcPr>
            <w:tcW w:w="0" w:type="auto"/>
            <w:tcBorders>
              <w:top w:val="single" w:sz="4" w:space="0" w:color="auto"/>
              <w:left w:val="nil"/>
              <w:bottom w:val="single" w:sz="4" w:space="0" w:color="auto"/>
              <w:right w:val="nil"/>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2,02</w:t>
            </w:r>
          </w:p>
        </w:tc>
        <w:tc>
          <w:tcPr>
            <w:tcW w:w="0" w:type="auto"/>
            <w:tcBorders>
              <w:top w:val="single" w:sz="4" w:space="0" w:color="auto"/>
              <w:left w:val="nil"/>
              <w:bottom w:val="single" w:sz="4" w:space="0" w:color="auto"/>
              <w:right w:val="nil"/>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2,30</w:t>
            </w:r>
          </w:p>
        </w:tc>
        <w:tc>
          <w:tcPr>
            <w:tcW w:w="0" w:type="auto"/>
            <w:tcBorders>
              <w:top w:val="single" w:sz="4" w:space="0" w:color="auto"/>
              <w:left w:val="nil"/>
              <w:bottom w:val="single" w:sz="4" w:space="0" w:color="auto"/>
              <w:right w:val="nil"/>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2,87</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9454EF" w:rsidRPr="001A5D73" w:rsidRDefault="009454EF" w:rsidP="009454EF">
            <w:pPr>
              <w:spacing w:line="240" w:lineRule="auto"/>
              <w:jc w:val="right"/>
              <w:rPr>
                <w:color w:val="000000"/>
                <w:sz w:val="20"/>
                <w:szCs w:val="20"/>
              </w:rPr>
            </w:pPr>
            <w:r w:rsidRPr="001A5D73">
              <w:rPr>
                <w:color w:val="000000"/>
                <w:sz w:val="20"/>
                <w:szCs w:val="20"/>
              </w:rPr>
              <w:t>2,93</w:t>
            </w:r>
          </w:p>
        </w:tc>
      </w:tr>
      <w:tr w:rsidR="00F666F4" w:rsidRPr="001A5D73" w:rsidTr="009F468F">
        <w:trPr>
          <w:trHeight w:val="298"/>
        </w:trPr>
        <w:tc>
          <w:tcPr>
            <w:tcW w:w="0" w:type="auto"/>
            <w:tcBorders>
              <w:top w:val="nil"/>
              <w:left w:val="nil"/>
              <w:bottom w:val="nil"/>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nil"/>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nil"/>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nil"/>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nil"/>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c>
          <w:tcPr>
            <w:tcW w:w="0" w:type="auto"/>
            <w:tcBorders>
              <w:top w:val="nil"/>
              <w:left w:val="nil"/>
              <w:bottom w:val="nil"/>
              <w:right w:val="nil"/>
            </w:tcBorders>
            <w:shd w:val="clear" w:color="auto" w:fill="auto"/>
            <w:noWrap/>
            <w:vAlign w:val="bottom"/>
            <w:hideMark/>
          </w:tcPr>
          <w:p w:rsidR="009454EF" w:rsidRPr="001A5D73" w:rsidRDefault="009454EF" w:rsidP="009454EF">
            <w:pPr>
              <w:spacing w:line="240" w:lineRule="auto"/>
              <w:rPr>
                <w:color w:val="000000"/>
                <w:sz w:val="20"/>
                <w:szCs w:val="20"/>
              </w:rPr>
            </w:pPr>
          </w:p>
        </w:tc>
      </w:tr>
      <w:tr w:rsidR="00324612" w:rsidRPr="001A5D73" w:rsidTr="009F468F">
        <w:trPr>
          <w:trHeight w:val="597"/>
        </w:trPr>
        <w:tc>
          <w:tcPr>
            <w:tcW w:w="0" w:type="auto"/>
            <w:tcBorders>
              <w:top w:val="single" w:sz="4" w:space="0" w:color="auto"/>
              <w:left w:val="single" w:sz="4" w:space="0" w:color="auto"/>
              <w:bottom w:val="single" w:sz="4" w:space="0" w:color="auto"/>
              <w:right w:val="nil"/>
            </w:tcBorders>
            <w:shd w:val="clear" w:color="000000" w:fill="00B0F0"/>
            <w:vAlign w:val="bottom"/>
            <w:hideMark/>
          </w:tcPr>
          <w:p w:rsidR="009454EF" w:rsidRPr="001A5D73" w:rsidRDefault="009454EF" w:rsidP="009454EF">
            <w:pPr>
              <w:spacing w:line="240" w:lineRule="auto"/>
              <w:rPr>
                <w:color w:val="000000"/>
                <w:sz w:val="20"/>
                <w:szCs w:val="20"/>
              </w:rPr>
            </w:pPr>
            <w:r w:rsidRPr="001A5D73">
              <w:rPr>
                <w:color w:val="000000"/>
                <w:sz w:val="20"/>
                <w:szCs w:val="20"/>
              </w:rPr>
              <w:t>Variação % entre volume tratado x volume faturado</w:t>
            </w:r>
          </w:p>
        </w:tc>
        <w:tc>
          <w:tcPr>
            <w:tcW w:w="0" w:type="auto"/>
            <w:tcBorders>
              <w:top w:val="single" w:sz="4" w:space="0" w:color="auto"/>
              <w:left w:val="nil"/>
              <w:bottom w:val="single" w:sz="4" w:space="0" w:color="auto"/>
              <w:right w:val="nil"/>
            </w:tcBorders>
            <w:shd w:val="clear" w:color="000000" w:fill="00B0F0"/>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7,43 </w:t>
            </w:r>
          </w:p>
        </w:tc>
        <w:tc>
          <w:tcPr>
            <w:tcW w:w="0" w:type="auto"/>
            <w:tcBorders>
              <w:top w:val="single" w:sz="4" w:space="0" w:color="auto"/>
              <w:left w:val="nil"/>
              <w:bottom w:val="single" w:sz="4" w:space="0" w:color="auto"/>
              <w:right w:val="nil"/>
            </w:tcBorders>
            <w:shd w:val="clear" w:color="000000" w:fill="00B0F0"/>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7,65 </w:t>
            </w:r>
          </w:p>
        </w:tc>
        <w:tc>
          <w:tcPr>
            <w:tcW w:w="0" w:type="auto"/>
            <w:tcBorders>
              <w:top w:val="single" w:sz="4" w:space="0" w:color="auto"/>
              <w:left w:val="nil"/>
              <w:bottom w:val="single" w:sz="4" w:space="0" w:color="auto"/>
              <w:right w:val="nil"/>
            </w:tcBorders>
            <w:shd w:val="clear" w:color="000000" w:fill="00B0F0"/>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10,28 </w:t>
            </w:r>
          </w:p>
        </w:tc>
        <w:tc>
          <w:tcPr>
            <w:tcW w:w="0" w:type="auto"/>
            <w:tcBorders>
              <w:top w:val="single" w:sz="4" w:space="0" w:color="auto"/>
              <w:left w:val="nil"/>
              <w:bottom w:val="single" w:sz="4" w:space="0" w:color="auto"/>
              <w:right w:val="nil"/>
            </w:tcBorders>
            <w:shd w:val="clear" w:color="000000" w:fill="00B0F0"/>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19,46 </w:t>
            </w:r>
          </w:p>
        </w:tc>
        <w:tc>
          <w:tcPr>
            <w:tcW w:w="0" w:type="auto"/>
            <w:tcBorders>
              <w:top w:val="single" w:sz="4" w:space="0" w:color="auto"/>
              <w:left w:val="nil"/>
              <w:bottom w:val="single" w:sz="4" w:space="0" w:color="auto"/>
              <w:right w:val="single" w:sz="4" w:space="0" w:color="auto"/>
            </w:tcBorders>
            <w:shd w:val="clear" w:color="000000" w:fill="00B0F0"/>
            <w:noWrap/>
            <w:vAlign w:val="bottom"/>
            <w:hideMark/>
          </w:tcPr>
          <w:p w:rsidR="009454EF" w:rsidRPr="001A5D73" w:rsidRDefault="009454EF" w:rsidP="009454EF">
            <w:pPr>
              <w:spacing w:line="240" w:lineRule="auto"/>
              <w:rPr>
                <w:color w:val="000000"/>
                <w:sz w:val="20"/>
                <w:szCs w:val="20"/>
              </w:rPr>
            </w:pPr>
            <w:r w:rsidRPr="001A5D73">
              <w:rPr>
                <w:color w:val="000000"/>
                <w:sz w:val="20"/>
                <w:szCs w:val="20"/>
              </w:rPr>
              <w:t xml:space="preserve">            29,25 </w:t>
            </w:r>
          </w:p>
        </w:tc>
      </w:tr>
    </w:tbl>
    <w:p w:rsidR="007B56C7" w:rsidRPr="001A5D73" w:rsidRDefault="007B56C7" w:rsidP="001A5D73">
      <w:pPr>
        <w:jc w:val="both"/>
        <w:rPr>
          <w:sz w:val="20"/>
          <w:szCs w:val="20"/>
        </w:rPr>
      </w:pPr>
    </w:p>
    <w:p w:rsidR="00E441D8" w:rsidRPr="001A5D73" w:rsidRDefault="00E441D8" w:rsidP="001A5D73">
      <w:pPr>
        <w:ind w:firstLine="851"/>
        <w:jc w:val="both"/>
      </w:pPr>
      <w:r w:rsidRPr="001A5D73">
        <w:t>Observamos na tabela acima uma variação entre o volume tratado x volume faturado da ordem de 29,25%, acredita-se que o volume tratado apres</w:t>
      </w:r>
      <w:r w:rsidR="001A5D73">
        <w:t>entado seja o volume nominal e</w:t>
      </w:r>
      <w:r w:rsidR="00C369EF">
        <w:t>, portanto</w:t>
      </w:r>
      <w:r w:rsidRPr="001A5D73">
        <w:t xml:space="preserve">, carece de macromedidores a fim de aproximar esta distorção, ou problemas com a micromedição </w:t>
      </w:r>
      <w:r w:rsidR="00FE635A" w:rsidRPr="001A5D73">
        <w:t xml:space="preserve">por consequência </w:t>
      </w:r>
      <w:r w:rsidRPr="001A5D73">
        <w:t xml:space="preserve">afeta diretamente o volume faturado. </w:t>
      </w:r>
    </w:p>
    <w:p w:rsidR="00464D0C" w:rsidRDefault="00464D0C" w:rsidP="001A5D73">
      <w:pPr>
        <w:ind w:firstLine="851"/>
        <w:jc w:val="both"/>
      </w:pPr>
    </w:p>
    <w:p w:rsidR="003819F1" w:rsidRPr="001A5D73" w:rsidRDefault="003819F1" w:rsidP="001A5D73">
      <w:pPr>
        <w:ind w:firstLine="851"/>
        <w:jc w:val="both"/>
      </w:pPr>
      <w:r w:rsidRPr="001A5D73">
        <w:t xml:space="preserve">Destaca-se </w:t>
      </w:r>
      <w:r w:rsidR="00E441D8" w:rsidRPr="001A5D73">
        <w:t xml:space="preserve">abaixo, </w:t>
      </w:r>
      <w:r w:rsidRPr="001A5D73">
        <w:t>o comportamento das despesas separadamente a fim de apurar a evolução média nos últimos cinco anos a fim de servir de base para projetar o fluxo de caixa para os próximos cinco anos</w:t>
      </w:r>
      <w:r w:rsidR="001A5D73">
        <w:t>:</w:t>
      </w:r>
    </w:p>
    <w:p w:rsidR="00464D0C" w:rsidRPr="001A5D73" w:rsidRDefault="00464D0C" w:rsidP="001A5D73">
      <w:pPr>
        <w:jc w:val="both"/>
        <w:rPr>
          <w:sz w:val="20"/>
          <w:szCs w:val="20"/>
        </w:rPr>
      </w:pPr>
    </w:p>
    <w:tbl>
      <w:tblPr>
        <w:tblStyle w:val="SombreamentoClaro"/>
        <w:tblpPr w:leftFromText="141" w:rightFromText="141" w:vertAnchor="text" w:horzAnchor="margin" w:tblpY="243"/>
        <w:tblW w:w="9322" w:type="dxa"/>
        <w:tblLook w:val="04A0" w:firstRow="1" w:lastRow="0" w:firstColumn="1" w:lastColumn="0" w:noHBand="0" w:noVBand="1"/>
      </w:tblPr>
      <w:tblGrid>
        <w:gridCol w:w="3134"/>
        <w:gridCol w:w="1194"/>
        <w:gridCol w:w="1194"/>
        <w:gridCol w:w="1194"/>
        <w:gridCol w:w="1749"/>
        <w:gridCol w:w="858"/>
      </w:tblGrid>
      <w:tr w:rsidR="007B56C7" w:rsidRPr="001A5D73" w:rsidTr="007B56C7">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322" w:type="dxa"/>
            <w:gridSpan w:val="6"/>
            <w:shd w:val="clear" w:color="auto" w:fill="8DB3E2" w:themeFill="text2" w:themeFillTint="66"/>
            <w:noWrap/>
            <w:hideMark/>
          </w:tcPr>
          <w:p w:rsidR="007B56C7" w:rsidRPr="001A5D73" w:rsidRDefault="007B56C7" w:rsidP="007B56C7">
            <w:pPr>
              <w:spacing w:line="240" w:lineRule="auto"/>
              <w:rPr>
                <w:color w:val="000000"/>
                <w:sz w:val="22"/>
                <w:szCs w:val="22"/>
              </w:rPr>
            </w:pPr>
            <w:r w:rsidRPr="001A5D73">
              <w:rPr>
                <w:color w:val="000000"/>
                <w:sz w:val="22"/>
                <w:szCs w:val="22"/>
              </w:rPr>
              <w:t>EVOLUÇÃO DAS DESPESAS E RECEITAS EM %</w:t>
            </w:r>
          </w:p>
        </w:tc>
      </w:tr>
      <w:tr w:rsidR="007B56C7" w:rsidRPr="001A5D73" w:rsidTr="007B5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B56C7" w:rsidRPr="001A5D73" w:rsidRDefault="007B56C7" w:rsidP="007B56C7">
            <w:pPr>
              <w:spacing w:line="240" w:lineRule="auto"/>
              <w:rPr>
                <w:color w:val="000000"/>
                <w:sz w:val="22"/>
                <w:szCs w:val="22"/>
              </w:rPr>
            </w:pP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Evolução</w:t>
            </w:r>
          </w:p>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2008/2009</w:t>
            </w: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Evolução</w:t>
            </w:r>
          </w:p>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2009/2010</w:t>
            </w: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Evolução</w:t>
            </w:r>
          </w:p>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2010/2011</w:t>
            </w:r>
          </w:p>
        </w:tc>
        <w:tc>
          <w:tcPr>
            <w:tcW w:w="1749"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Evolução</w:t>
            </w:r>
          </w:p>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2011/2012</w:t>
            </w:r>
          </w:p>
        </w:tc>
        <w:tc>
          <w:tcPr>
            <w:tcW w:w="857"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Me</w:t>
            </w:r>
          </w:p>
        </w:tc>
      </w:tr>
      <w:tr w:rsidR="007B56C7" w:rsidRPr="001A5D73" w:rsidTr="007B56C7">
        <w:trPr>
          <w:trHeight w:val="30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B56C7" w:rsidRPr="001A5D73" w:rsidRDefault="007B56C7" w:rsidP="007B56C7">
            <w:pPr>
              <w:spacing w:line="240" w:lineRule="auto"/>
              <w:rPr>
                <w:color w:val="000000"/>
                <w:sz w:val="22"/>
                <w:szCs w:val="22"/>
              </w:rPr>
            </w:pPr>
            <w:r w:rsidRPr="001A5D73">
              <w:rPr>
                <w:color w:val="000000"/>
                <w:sz w:val="22"/>
                <w:szCs w:val="22"/>
              </w:rPr>
              <w:t xml:space="preserve"> Tarifa Água </w:t>
            </w:r>
          </w:p>
        </w:tc>
        <w:tc>
          <w:tcPr>
            <w:tcW w:w="1194"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9,87</w:t>
            </w:r>
          </w:p>
        </w:tc>
        <w:tc>
          <w:tcPr>
            <w:tcW w:w="1194"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15,59</w:t>
            </w:r>
          </w:p>
        </w:tc>
        <w:tc>
          <w:tcPr>
            <w:tcW w:w="1194"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6,39</w:t>
            </w:r>
          </w:p>
        </w:tc>
        <w:tc>
          <w:tcPr>
            <w:tcW w:w="1749"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11,55</w:t>
            </w:r>
          </w:p>
        </w:tc>
        <w:tc>
          <w:tcPr>
            <w:tcW w:w="857"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10,85</w:t>
            </w:r>
          </w:p>
        </w:tc>
      </w:tr>
      <w:tr w:rsidR="007B56C7" w:rsidRPr="001A5D73" w:rsidTr="007B56C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B56C7" w:rsidRPr="001A5D73" w:rsidRDefault="007B56C7" w:rsidP="007B56C7">
            <w:pPr>
              <w:spacing w:line="240" w:lineRule="auto"/>
              <w:rPr>
                <w:color w:val="000000"/>
                <w:sz w:val="22"/>
                <w:szCs w:val="22"/>
              </w:rPr>
            </w:pPr>
            <w:r w:rsidRPr="001A5D73">
              <w:rPr>
                <w:color w:val="000000"/>
                <w:sz w:val="22"/>
                <w:szCs w:val="22"/>
              </w:rPr>
              <w:t>Despesas</w:t>
            </w: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749"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57"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7B56C7" w:rsidRPr="001A5D73" w:rsidTr="007B56C7">
        <w:trPr>
          <w:trHeight w:val="30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B56C7" w:rsidRPr="001A5D73" w:rsidRDefault="007B56C7" w:rsidP="007B56C7">
            <w:pPr>
              <w:spacing w:line="240" w:lineRule="auto"/>
              <w:rPr>
                <w:color w:val="000000"/>
                <w:sz w:val="22"/>
                <w:szCs w:val="22"/>
              </w:rPr>
            </w:pPr>
            <w:r w:rsidRPr="001A5D73">
              <w:rPr>
                <w:color w:val="000000"/>
                <w:sz w:val="22"/>
                <w:szCs w:val="22"/>
              </w:rPr>
              <w:t>Pessoal e Encargos</w:t>
            </w:r>
          </w:p>
        </w:tc>
        <w:tc>
          <w:tcPr>
            <w:tcW w:w="1194"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10,40</w:t>
            </w:r>
          </w:p>
        </w:tc>
        <w:tc>
          <w:tcPr>
            <w:tcW w:w="1194"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14,62</w:t>
            </w:r>
          </w:p>
        </w:tc>
        <w:tc>
          <w:tcPr>
            <w:tcW w:w="1194"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15,45</w:t>
            </w:r>
          </w:p>
        </w:tc>
        <w:tc>
          <w:tcPr>
            <w:tcW w:w="1749"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15,90</w:t>
            </w:r>
          </w:p>
        </w:tc>
        <w:tc>
          <w:tcPr>
            <w:tcW w:w="857"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14,09</w:t>
            </w:r>
          </w:p>
        </w:tc>
      </w:tr>
      <w:tr w:rsidR="007B56C7" w:rsidRPr="001A5D73" w:rsidTr="007B5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B56C7" w:rsidRPr="001A5D73" w:rsidRDefault="007B56C7" w:rsidP="007B56C7">
            <w:pPr>
              <w:spacing w:line="240" w:lineRule="auto"/>
              <w:rPr>
                <w:color w:val="000000"/>
                <w:sz w:val="22"/>
                <w:szCs w:val="22"/>
              </w:rPr>
            </w:pPr>
            <w:r w:rsidRPr="001A5D73">
              <w:rPr>
                <w:color w:val="000000"/>
                <w:sz w:val="22"/>
                <w:szCs w:val="22"/>
              </w:rPr>
              <w:t>Juros e Encargos</w:t>
            </w: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749"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57"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7B56C7" w:rsidRPr="001A5D73" w:rsidTr="007B56C7">
        <w:trPr>
          <w:trHeight w:val="30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B56C7" w:rsidRPr="001A5D73" w:rsidRDefault="007B56C7" w:rsidP="007B56C7">
            <w:pPr>
              <w:spacing w:line="240" w:lineRule="auto"/>
              <w:rPr>
                <w:color w:val="000000"/>
                <w:sz w:val="22"/>
                <w:szCs w:val="22"/>
              </w:rPr>
            </w:pPr>
            <w:r w:rsidRPr="001A5D73">
              <w:rPr>
                <w:color w:val="000000"/>
                <w:sz w:val="22"/>
                <w:szCs w:val="22"/>
              </w:rPr>
              <w:t>Amortizações</w:t>
            </w:r>
          </w:p>
        </w:tc>
        <w:tc>
          <w:tcPr>
            <w:tcW w:w="1194"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18,06</w:t>
            </w:r>
          </w:p>
        </w:tc>
        <w:tc>
          <w:tcPr>
            <w:tcW w:w="1194"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FF0000"/>
                <w:sz w:val="22"/>
                <w:szCs w:val="22"/>
              </w:rPr>
              <w:t>(29,82)</w:t>
            </w:r>
          </w:p>
        </w:tc>
        <w:tc>
          <w:tcPr>
            <w:tcW w:w="1194"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FF0000"/>
                <w:sz w:val="22"/>
                <w:szCs w:val="22"/>
              </w:rPr>
              <w:t>(75,01)</w:t>
            </w:r>
          </w:p>
        </w:tc>
        <w:tc>
          <w:tcPr>
            <w:tcW w:w="1749"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000000"/>
                <w:sz w:val="22"/>
                <w:szCs w:val="22"/>
              </w:rPr>
              <w:t>8,25</w:t>
            </w:r>
          </w:p>
        </w:tc>
        <w:tc>
          <w:tcPr>
            <w:tcW w:w="857" w:type="dxa"/>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A5D73">
              <w:rPr>
                <w:color w:val="FF0000"/>
                <w:sz w:val="22"/>
                <w:szCs w:val="22"/>
              </w:rPr>
              <w:t>(19,63)</w:t>
            </w:r>
          </w:p>
        </w:tc>
      </w:tr>
      <w:tr w:rsidR="007B56C7" w:rsidRPr="001A5D73" w:rsidTr="007B5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4" w:type="dxa"/>
            <w:noWrap/>
            <w:hideMark/>
          </w:tcPr>
          <w:p w:rsidR="007B56C7" w:rsidRPr="001A5D73" w:rsidRDefault="007B56C7" w:rsidP="007B56C7">
            <w:pPr>
              <w:spacing w:line="240" w:lineRule="auto"/>
              <w:rPr>
                <w:color w:val="000000"/>
                <w:sz w:val="22"/>
                <w:szCs w:val="22"/>
              </w:rPr>
            </w:pPr>
            <w:r w:rsidRPr="001A5D73">
              <w:rPr>
                <w:color w:val="000000"/>
                <w:sz w:val="22"/>
                <w:szCs w:val="22"/>
              </w:rPr>
              <w:t>Manutenção</w:t>
            </w: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FF0000"/>
                <w:sz w:val="22"/>
                <w:szCs w:val="22"/>
              </w:rPr>
              <w:t>(11,94)</w:t>
            </w: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1A5D73">
              <w:rPr>
                <w:sz w:val="22"/>
                <w:szCs w:val="22"/>
              </w:rPr>
              <w:t>4,57</w:t>
            </w:r>
          </w:p>
        </w:tc>
        <w:tc>
          <w:tcPr>
            <w:tcW w:w="1194"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1A5D73">
              <w:rPr>
                <w:sz w:val="22"/>
                <w:szCs w:val="22"/>
              </w:rPr>
              <w:t>22,55</w:t>
            </w:r>
          </w:p>
        </w:tc>
        <w:tc>
          <w:tcPr>
            <w:tcW w:w="1749"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sz w:val="22"/>
                <w:szCs w:val="22"/>
              </w:rPr>
              <w:t>0,85</w:t>
            </w:r>
          </w:p>
        </w:tc>
        <w:tc>
          <w:tcPr>
            <w:tcW w:w="857" w:type="dxa"/>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1A5D73">
              <w:rPr>
                <w:color w:val="000000"/>
                <w:sz w:val="22"/>
                <w:szCs w:val="22"/>
              </w:rPr>
              <w:t>4,01</w:t>
            </w:r>
          </w:p>
        </w:tc>
      </w:tr>
      <w:tr w:rsidR="007B56C7" w:rsidRPr="001A5D73" w:rsidTr="007B56C7">
        <w:trPr>
          <w:trHeight w:val="300"/>
        </w:trPr>
        <w:tc>
          <w:tcPr>
            <w:cnfStyle w:val="001000000000" w:firstRow="0" w:lastRow="0" w:firstColumn="1" w:lastColumn="0" w:oddVBand="0" w:evenVBand="0" w:oddHBand="0" w:evenHBand="0" w:firstRowFirstColumn="0" w:firstRowLastColumn="0" w:lastRowFirstColumn="0" w:lastRowLastColumn="0"/>
            <w:tcW w:w="3134" w:type="dxa"/>
            <w:tcBorders>
              <w:bottom w:val="nil"/>
            </w:tcBorders>
            <w:noWrap/>
            <w:hideMark/>
          </w:tcPr>
          <w:p w:rsidR="007B56C7" w:rsidRPr="001A5D73" w:rsidRDefault="007B56C7" w:rsidP="007B56C7">
            <w:pPr>
              <w:spacing w:line="240" w:lineRule="auto"/>
              <w:rPr>
                <w:color w:val="000000"/>
                <w:sz w:val="22"/>
                <w:szCs w:val="22"/>
              </w:rPr>
            </w:pPr>
            <w:r w:rsidRPr="001A5D73">
              <w:rPr>
                <w:color w:val="000000"/>
                <w:sz w:val="22"/>
                <w:szCs w:val="22"/>
              </w:rPr>
              <w:t>Depreciação</w:t>
            </w:r>
          </w:p>
        </w:tc>
        <w:tc>
          <w:tcPr>
            <w:tcW w:w="1194" w:type="dxa"/>
            <w:tcBorders>
              <w:bottom w:val="nil"/>
            </w:tcBorders>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94" w:type="dxa"/>
            <w:tcBorders>
              <w:bottom w:val="nil"/>
            </w:tcBorders>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194" w:type="dxa"/>
            <w:tcBorders>
              <w:bottom w:val="nil"/>
            </w:tcBorders>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749" w:type="dxa"/>
            <w:tcBorders>
              <w:bottom w:val="nil"/>
            </w:tcBorders>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57" w:type="dxa"/>
            <w:tcBorders>
              <w:bottom w:val="nil"/>
            </w:tcBorders>
            <w:noWrap/>
            <w:hideMark/>
          </w:tcPr>
          <w:p w:rsidR="007B56C7" w:rsidRPr="001A5D73" w:rsidRDefault="007B56C7" w:rsidP="007B56C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7B56C7" w:rsidRPr="001A5D73" w:rsidTr="007B5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4" w:type="dxa"/>
            <w:tcBorders>
              <w:top w:val="nil"/>
              <w:bottom w:val="single" w:sz="4" w:space="0" w:color="auto"/>
            </w:tcBorders>
            <w:noWrap/>
            <w:hideMark/>
          </w:tcPr>
          <w:p w:rsidR="007B56C7" w:rsidRPr="001A5D73" w:rsidRDefault="007B56C7" w:rsidP="007B56C7">
            <w:pPr>
              <w:spacing w:line="240" w:lineRule="auto"/>
              <w:rPr>
                <w:color w:val="000000"/>
                <w:sz w:val="22"/>
                <w:szCs w:val="22"/>
              </w:rPr>
            </w:pPr>
            <w:r w:rsidRPr="001A5D73">
              <w:rPr>
                <w:color w:val="000000"/>
                <w:sz w:val="22"/>
                <w:szCs w:val="22"/>
              </w:rPr>
              <w:t>Investimentos</w:t>
            </w:r>
          </w:p>
        </w:tc>
        <w:tc>
          <w:tcPr>
            <w:tcW w:w="1194" w:type="dxa"/>
            <w:tcBorders>
              <w:top w:val="nil"/>
              <w:bottom w:val="single" w:sz="4" w:space="0" w:color="auto"/>
            </w:tcBorders>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FF0000"/>
                <w:sz w:val="22"/>
                <w:szCs w:val="22"/>
              </w:rPr>
              <w:t>(67,81)</w:t>
            </w:r>
          </w:p>
        </w:tc>
        <w:tc>
          <w:tcPr>
            <w:tcW w:w="1194" w:type="dxa"/>
            <w:tcBorders>
              <w:top w:val="nil"/>
              <w:bottom w:val="single" w:sz="4" w:space="0" w:color="auto"/>
            </w:tcBorders>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sz w:val="22"/>
                <w:szCs w:val="22"/>
              </w:rPr>
              <w:t>37,39</w:t>
            </w:r>
          </w:p>
        </w:tc>
        <w:tc>
          <w:tcPr>
            <w:tcW w:w="1194" w:type="dxa"/>
            <w:tcBorders>
              <w:top w:val="nil"/>
              <w:bottom w:val="single" w:sz="4" w:space="0" w:color="auto"/>
            </w:tcBorders>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sz w:val="22"/>
                <w:szCs w:val="22"/>
              </w:rPr>
              <w:t>62,43</w:t>
            </w:r>
          </w:p>
        </w:tc>
        <w:tc>
          <w:tcPr>
            <w:tcW w:w="1749" w:type="dxa"/>
            <w:tcBorders>
              <w:top w:val="nil"/>
              <w:bottom w:val="single" w:sz="4" w:space="0" w:color="auto"/>
            </w:tcBorders>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sz w:val="22"/>
                <w:szCs w:val="22"/>
              </w:rPr>
              <w:t>27,85</w:t>
            </w:r>
          </w:p>
        </w:tc>
        <w:tc>
          <w:tcPr>
            <w:tcW w:w="857" w:type="dxa"/>
            <w:tcBorders>
              <w:top w:val="nil"/>
              <w:bottom w:val="single" w:sz="4" w:space="0" w:color="auto"/>
            </w:tcBorders>
            <w:noWrap/>
            <w:hideMark/>
          </w:tcPr>
          <w:p w:rsidR="007B56C7" w:rsidRPr="001A5D73" w:rsidRDefault="007B56C7" w:rsidP="007B56C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A5D73">
              <w:rPr>
                <w:color w:val="000000"/>
                <w:sz w:val="22"/>
                <w:szCs w:val="22"/>
              </w:rPr>
              <w:t>14,97</w:t>
            </w:r>
          </w:p>
        </w:tc>
      </w:tr>
      <w:tr w:rsidR="007B56C7" w:rsidRPr="001A5D73" w:rsidTr="007B56C7">
        <w:trPr>
          <w:trHeight w:val="300"/>
        </w:trPr>
        <w:tc>
          <w:tcPr>
            <w:cnfStyle w:val="001000000000" w:firstRow="0" w:lastRow="0" w:firstColumn="1" w:lastColumn="0" w:oddVBand="0" w:evenVBand="0" w:oddHBand="0" w:evenHBand="0" w:firstRowFirstColumn="0" w:firstRowLastColumn="0" w:lastRowFirstColumn="0" w:lastRowLastColumn="0"/>
            <w:tcW w:w="3134" w:type="dxa"/>
            <w:tcBorders>
              <w:top w:val="single" w:sz="4" w:space="0" w:color="auto"/>
              <w:bottom w:val="nil"/>
            </w:tcBorders>
            <w:noWrap/>
          </w:tcPr>
          <w:p w:rsidR="007B56C7" w:rsidRPr="001A5D73" w:rsidRDefault="007B56C7" w:rsidP="001A5D73">
            <w:pPr>
              <w:rPr>
                <w:color w:val="000000"/>
                <w:sz w:val="22"/>
                <w:szCs w:val="22"/>
              </w:rPr>
            </w:pPr>
          </w:p>
        </w:tc>
        <w:tc>
          <w:tcPr>
            <w:tcW w:w="1194" w:type="dxa"/>
            <w:tcBorders>
              <w:top w:val="single" w:sz="4" w:space="0" w:color="auto"/>
              <w:bottom w:val="nil"/>
            </w:tcBorders>
            <w:noWrap/>
          </w:tcPr>
          <w:p w:rsidR="007B56C7" w:rsidRPr="001A5D73" w:rsidRDefault="007B56C7" w:rsidP="001A5D73">
            <w:pPr>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94" w:type="dxa"/>
            <w:tcBorders>
              <w:top w:val="single" w:sz="4" w:space="0" w:color="auto"/>
              <w:bottom w:val="nil"/>
            </w:tcBorders>
            <w:noWrap/>
          </w:tcPr>
          <w:p w:rsidR="007B56C7" w:rsidRPr="001A5D73" w:rsidRDefault="007B56C7" w:rsidP="001A5D73">
            <w:pPr>
              <w:cnfStyle w:val="000000000000" w:firstRow="0" w:lastRow="0" w:firstColumn="0" w:lastColumn="0" w:oddVBand="0" w:evenVBand="0" w:oddHBand="0" w:evenHBand="0" w:firstRowFirstColumn="0" w:firstRowLastColumn="0" w:lastRowFirstColumn="0" w:lastRowLastColumn="0"/>
              <w:rPr>
                <w:sz w:val="22"/>
                <w:szCs w:val="22"/>
              </w:rPr>
            </w:pPr>
          </w:p>
        </w:tc>
        <w:tc>
          <w:tcPr>
            <w:tcW w:w="1194" w:type="dxa"/>
            <w:tcBorders>
              <w:top w:val="single" w:sz="4" w:space="0" w:color="auto"/>
              <w:bottom w:val="nil"/>
            </w:tcBorders>
            <w:noWrap/>
          </w:tcPr>
          <w:p w:rsidR="007B56C7" w:rsidRPr="001A5D73" w:rsidRDefault="007B56C7" w:rsidP="001A5D73">
            <w:pPr>
              <w:cnfStyle w:val="000000000000" w:firstRow="0" w:lastRow="0" w:firstColumn="0" w:lastColumn="0" w:oddVBand="0" w:evenVBand="0" w:oddHBand="0" w:evenHBand="0" w:firstRowFirstColumn="0" w:firstRowLastColumn="0" w:lastRowFirstColumn="0" w:lastRowLastColumn="0"/>
              <w:rPr>
                <w:sz w:val="22"/>
                <w:szCs w:val="22"/>
              </w:rPr>
            </w:pPr>
          </w:p>
        </w:tc>
        <w:tc>
          <w:tcPr>
            <w:tcW w:w="1749" w:type="dxa"/>
            <w:tcBorders>
              <w:top w:val="single" w:sz="4" w:space="0" w:color="auto"/>
              <w:bottom w:val="nil"/>
            </w:tcBorders>
            <w:noWrap/>
          </w:tcPr>
          <w:p w:rsidR="007B56C7" w:rsidRPr="001A5D73" w:rsidRDefault="007B56C7" w:rsidP="001A5D73">
            <w:pPr>
              <w:cnfStyle w:val="000000000000" w:firstRow="0" w:lastRow="0" w:firstColumn="0" w:lastColumn="0" w:oddVBand="0" w:evenVBand="0" w:oddHBand="0" w:evenHBand="0" w:firstRowFirstColumn="0" w:firstRowLastColumn="0" w:lastRowFirstColumn="0" w:lastRowLastColumn="0"/>
              <w:rPr>
                <w:sz w:val="22"/>
                <w:szCs w:val="22"/>
              </w:rPr>
            </w:pPr>
          </w:p>
        </w:tc>
        <w:tc>
          <w:tcPr>
            <w:tcW w:w="857" w:type="dxa"/>
            <w:tcBorders>
              <w:top w:val="single" w:sz="4" w:space="0" w:color="auto"/>
              <w:bottom w:val="nil"/>
            </w:tcBorders>
            <w:noWrap/>
          </w:tcPr>
          <w:p w:rsidR="007B56C7" w:rsidRPr="001A5D73" w:rsidRDefault="007B56C7" w:rsidP="001A5D73">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bl>
    <w:p w:rsidR="008E10B1" w:rsidRPr="001A5D73" w:rsidRDefault="00E441D8" w:rsidP="001A5D73">
      <w:pPr>
        <w:ind w:firstLine="851"/>
        <w:jc w:val="both"/>
      </w:pPr>
      <w:r w:rsidRPr="001A5D73">
        <w:t>As despesas ao longo do período apresentam comportamentos diferenciados, cada qual reflete as ações interpostas por parte de seus administradores</w:t>
      </w:r>
      <w:r w:rsidR="004B2B27" w:rsidRPr="001A5D73">
        <w:t xml:space="preserve">. A </w:t>
      </w:r>
      <w:r w:rsidR="001A5D73">
        <w:t>r</w:t>
      </w:r>
      <w:r w:rsidR="004B2B27" w:rsidRPr="001A5D73">
        <w:t xml:space="preserve">eceita de tarifa de água tem uma evolução média de 10,85%, enquanto que a despesa de pessoal e encargos 14,09%, segundo informações tomadas pela </w:t>
      </w:r>
      <w:r w:rsidR="001A5D73">
        <w:t>A</w:t>
      </w:r>
      <w:r w:rsidR="004B2B27" w:rsidRPr="001A5D73">
        <w:t>utarquia os ajuste</w:t>
      </w:r>
      <w:r w:rsidR="001A5D73">
        <w:t>s</w:t>
      </w:r>
      <w:r w:rsidR="004B2B27" w:rsidRPr="001A5D73">
        <w:t xml:space="preserve"> de pessoal foram finalizados</w:t>
      </w:r>
      <w:r w:rsidR="001A5D73">
        <w:t>,</w:t>
      </w:r>
      <w:r w:rsidR="004B2B27" w:rsidRPr="001A5D73">
        <w:t xml:space="preserve"> portanto </w:t>
      </w:r>
      <w:r w:rsidR="004B2B27" w:rsidRPr="001A5D73">
        <w:lastRenderedPageBreak/>
        <w:t>os acréscimos estarão vinculados a reajustes futuros da categoria, restabelecendo o ritmo natural de evolução desta conta. Interessante observar os investimentos que ficaram em 14,97% valores que permitem a manutenção da qualidade de serviços de tratamento de água.</w:t>
      </w:r>
    </w:p>
    <w:p w:rsidR="00464D0C" w:rsidRDefault="00464D0C" w:rsidP="001A5D73">
      <w:pPr>
        <w:ind w:firstLine="851"/>
        <w:jc w:val="both"/>
      </w:pPr>
    </w:p>
    <w:p w:rsidR="00AB4826" w:rsidRPr="001A5D73" w:rsidRDefault="004B2B27" w:rsidP="001A5D73">
      <w:pPr>
        <w:ind w:firstLine="851"/>
        <w:jc w:val="both"/>
      </w:pPr>
      <w:r w:rsidRPr="001A5D73">
        <w:t xml:space="preserve">Neste fluxo baseado na média apurada e simulação da receita encontrou-se como percentual satisfatório o acréscimo de 9,64% tornando o fluxo de pagamentos da entidade para o exercício de 2013 em equilíbrio. </w:t>
      </w:r>
    </w:p>
    <w:p w:rsidR="004B2B27" w:rsidRPr="001A5D73" w:rsidRDefault="004B2B27" w:rsidP="001A5D73">
      <w:pPr>
        <w:ind w:firstLine="851"/>
        <w:jc w:val="both"/>
      </w:pPr>
    </w:p>
    <w:tbl>
      <w:tblPr>
        <w:tblW w:w="9018" w:type="dxa"/>
        <w:tblInd w:w="55" w:type="dxa"/>
        <w:tblCellMar>
          <w:left w:w="70" w:type="dxa"/>
          <w:right w:w="70" w:type="dxa"/>
        </w:tblCellMar>
        <w:tblLook w:val="04A0" w:firstRow="1" w:lastRow="0" w:firstColumn="1" w:lastColumn="0" w:noHBand="0" w:noVBand="1"/>
      </w:tblPr>
      <w:tblGrid>
        <w:gridCol w:w="1995"/>
        <w:gridCol w:w="1409"/>
        <w:gridCol w:w="1403"/>
        <w:gridCol w:w="1403"/>
        <w:gridCol w:w="1403"/>
        <w:gridCol w:w="1405"/>
      </w:tblGrid>
      <w:tr w:rsidR="007B56C7" w:rsidRPr="001A5D73" w:rsidTr="007B56C7">
        <w:trPr>
          <w:trHeight w:val="335"/>
        </w:trPr>
        <w:tc>
          <w:tcPr>
            <w:tcW w:w="9018" w:type="dxa"/>
            <w:gridSpan w:val="6"/>
            <w:tcBorders>
              <w:top w:val="nil"/>
              <w:left w:val="nil"/>
              <w:bottom w:val="single" w:sz="4" w:space="0" w:color="auto"/>
              <w:right w:val="nil"/>
            </w:tcBorders>
            <w:shd w:val="clear" w:color="auto" w:fill="auto"/>
            <w:noWrap/>
            <w:vAlign w:val="bottom"/>
            <w:hideMark/>
          </w:tcPr>
          <w:p w:rsidR="007B56C7" w:rsidRPr="001A5D73" w:rsidRDefault="007B56C7" w:rsidP="007B56C7">
            <w:pPr>
              <w:spacing w:line="240" w:lineRule="auto"/>
              <w:rPr>
                <w:b/>
                <w:bCs/>
                <w:color w:val="000000"/>
                <w:sz w:val="22"/>
                <w:szCs w:val="22"/>
              </w:rPr>
            </w:pPr>
            <w:r w:rsidRPr="001A5D73">
              <w:rPr>
                <w:b/>
                <w:bCs/>
                <w:color w:val="000000"/>
                <w:sz w:val="22"/>
                <w:szCs w:val="22"/>
              </w:rPr>
              <w:t xml:space="preserve">FLUXO DE </w:t>
            </w:r>
            <w:r w:rsidR="003819F1" w:rsidRPr="001A5D73">
              <w:rPr>
                <w:b/>
                <w:bCs/>
                <w:color w:val="000000"/>
                <w:sz w:val="22"/>
                <w:szCs w:val="22"/>
              </w:rPr>
              <w:t xml:space="preserve">CAIXA </w:t>
            </w:r>
            <w:r w:rsidRPr="001A5D73">
              <w:rPr>
                <w:b/>
                <w:bCs/>
                <w:color w:val="000000"/>
                <w:sz w:val="22"/>
                <w:szCs w:val="22"/>
              </w:rPr>
              <w:t>PROJETADO - ABASTECIMENTO DE ÁGUA</w:t>
            </w:r>
          </w:p>
        </w:tc>
      </w:tr>
      <w:tr w:rsidR="007B56C7"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B56C7" w:rsidRPr="001A5D73" w:rsidRDefault="007B56C7" w:rsidP="008E10B1">
            <w:pPr>
              <w:spacing w:line="240" w:lineRule="auto"/>
              <w:rPr>
                <w:b/>
                <w:bCs/>
                <w:color w:val="000000"/>
                <w:sz w:val="20"/>
                <w:szCs w:val="20"/>
              </w:rPr>
            </w:pPr>
            <w:r w:rsidRPr="001A5D73">
              <w:rPr>
                <w:b/>
                <w:bCs/>
                <w:color w:val="000000"/>
                <w:sz w:val="20"/>
                <w:szCs w:val="20"/>
              </w:rPr>
              <w:t xml:space="preserve"> Receitas </w:t>
            </w:r>
          </w:p>
        </w:tc>
        <w:tc>
          <w:tcPr>
            <w:tcW w:w="14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B56C7" w:rsidRPr="001A5D73" w:rsidRDefault="007B56C7" w:rsidP="008E10B1">
            <w:pPr>
              <w:spacing w:line="240" w:lineRule="auto"/>
              <w:jc w:val="center"/>
              <w:rPr>
                <w:color w:val="000000"/>
                <w:sz w:val="20"/>
                <w:szCs w:val="20"/>
              </w:rPr>
            </w:pPr>
            <w:r w:rsidRPr="001A5D73">
              <w:rPr>
                <w:color w:val="000000"/>
                <w:sz w:val="20"/>
                <w:szCs w:val="20"/>
              </w:rPr>
              <w:t>2013</w:t>
            </w:r>
          </w:p>
        </w:tc>
        <w:tc>
          <w:tcPr>
            <w:tcW w:w="14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B56C7" w:rsidRPr="001A5D73" w:rsidRDefault="007B56C7" w:rsidP="008E10B1">
            <w:pPr>
              <w:spacing w:line="240" w:lineRule="auto"/>
              <w:jc w:val="center"/>
              <w:rPr>
                <w:color w:val="000000"/>
                <w:sz w:val="20"/>
                <w:szCs w:val="20"/>
              </w:rPr>
            </w:pPr>
            <w:r w:rsidRPr="001A5D73">
              <w:rPr>
                <w:color w:val="000000"/>
                <w:sz w:val="20"/>
                <w:szCs w:val="20"/>
              </w:rPr>
              <w:t>2014</w:t>
            </w:r>
          </w:p>
        </w:tc>
        <w:tc>
          <w:tcPr>
            <w:tcW w:w="14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B56C7" w:rsidRPr="001A5D73" w:rsidRDefault="007B56C7" w:rsidP="008E10B1">
            <w:pPr>
              <w:spacing w:line="240" w:lineRule="auto"/>
              <w:jc w:val="center"/>
              <w:rPr>
                <w:color w:val="000000"/>
                <w:sz w:val="20"/>
                <w:szCs w:val="20"/>
              </w:rPr>
            </w:pPr>
            <w:r w:rsidRPr="001A5D73">
              <w:rPr>
                <w:color w:val="000000"/>
                <w:sz w:val="20"/>
                <w:szCs w:val="20"/>
              </w:rPr>
              <w:t>2015</w:t>
            </w:r>
          </w:p>
        </w:tc>
        <w:tc>
          <w:tcPr>
            <w:tcW w:w="14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B56C7" w:rsidRPr="001A5D73" w:rsidRDefault="007B56C7" w:rsidP="008E10B1">
            <w:pPr>
              <w:spacing w:line="240" w:lineRule="auto"/>
              <w:jc w:val="center"/>
              <w:rPr>
                <w:color w:val="000000"/>
                <w:sz w:val="20"/>
                <w:szCs w:val="20"/>
              </w:rPr>
            </w:pPr>
            <w:r w:rsidRPr="001A5D73">
              <w:rPr>
                <w:color w:val="000000"/>
                <w:sz w:val="20"/>
                <w:szCs w:val="20"/>
              </w:rPr>
              <w:t>2016</w:t>
            </w:r>
          </w:p>
        </w:tc>
        <w:tc>
          <w:tcPr>
            <w:tcW w:w="14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B56C7" w:rsidRPr="001A5D73" w:rsidRDefault="007B56C7" w:rsidP="008E10B1">
            <w:pPr>
              <w:spacing w:line="240" w:lineRule="auto"/>
              <w:jc w:val="center"/>
              <w:rPr>
                <w:color w:val="000000"/>
                <w:sz w:val="20"/>
                <w:szCs w:val="20"/>
              </w:rPr>
            </w:pPr>
            <w:r w:rsidRPr="001A5D73">
              <w:rPr>
                <w:color w:val="000000"/>
                <w:sz w:val="20"/>
                <w:szCs w:val="20"/>
              </w:rPr>
              <w:t>2017</w:t>
            </w:r>
          </w:p>
        </w:tc>
      </w:tr>
      <w:tr w:rsidR="00080F63"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rsidP="00080F63">
            <w:pPr>
              <w:spacing w:line="240" w:lineRule="auto"/>
              <w:rPr>
                <w:color w:val="000000"/>
                <w:sz w:val="20"/>
                <w:szCs w:val="20"/>
              </w:rPr>
            </w:pPr>
            <w:bookmarkStart w:id="0" w:name="_GoBack"/>
            <w:bookmarkEnd w:id="0"/>
            <w:r w:rsidRPr="001A5D73">
              <w:rPr>
                <w:color w:val="000000"/>
                <w:sz w:val="20"/>
                <w:szCs w:val="20"/>
              </w:rPr>
              <w:t xml:space="preserve"> Tarifa Água (9,64 %)</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9.890.825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10.844.300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11.889.691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13.035.857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14.292.514 </w:t>
            </w:r>
          </w:p>
        </w:tc>
      </w:tr>
      <w:tr w:rsidR="00080F63" w:rsidRPr="001A5D73" w:rsidTr="004B2B27">
        <w:trPr>
          <w:trHeight w:val="335"/>
        </w:trPr>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80F63" w:rsidRPr="001A5D73" w:rsidRDefault="00080F63" w:rsidP="008E10B1">
            <w:pPr>
              <w:spacing w:line="240" w:lineRule="auto"/>
              <w:rPr>
                <w:b/>
                <w:bCs/>
                <w:color w:val="000000"/>
                <w:sz w:val="20"/>
                <w:szCs w:val="20"/>
              </w:rPr>
            </w:pPr>
            <w:r w:rsidRPr="001A5D73">
              <w:rPr>
                <w:b/>
                <w:bCs/>
                <w:color w:val="000000"/>
                <w:sz w:val="20"/>
                <w:szCs w:val="20"/>
              </w:rPr>
              <w:t>Despesas</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80F63" w:rsidRPr="001A5D73" w:rsidRDefault="00080F63">
            <w:pPr>
              <w:rPr>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80F63" w:rsidRPr="001A5D73" w:rsidRDefault="00080F63">
            <w:pPr>
              <w:rPr>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80F63" w:rsidRPr="001A5D73" w:rsidRDefault="00080F63">
            <w:pPr>
              <w:rPr>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80F63" w:rsidRPr="001A5D73" w:rsidRDefault="00080F63">
            <w:pPr>
              <w:rPr>
                <w:color w:val="000000"/>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80F63" w:rsidRPr="001A5D73" w:rsidRDefault="00080F63">
            <w:pPr>
              <w:rPr>
                <w:color w:val="000000"/>
                <w:sz w:val="20"/>
                <w:szCs w:val="20"/>
              </w:rPr>
            </w:pPr>
          </w:p>
        </w:tc>
      </w:tr>
      <w:tr w:rsidR="00080F63"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rsidP="008E10B1">
            <w:pPr>
              <w:spacing w:line="240" w:lineRule="auto"/>
              <w:rPr>
                <w:color w:val="000000"/>
                <w:sz w:val="20"/>
                <w:szCs w:val="20"/>
              </w:rPr>
            </w:pPr>
            <w:r w:rsidRPr="001A5D73">
              <w:rPr>
                <w:color w:val="000000"/>
                <w:sz w:val="20"/>
                <w:szCs w:val="20"/>
              </w:rPr>
              <w:t>Pessoal e Encargos</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5.306.867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6.054.653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6.907.809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7.881.182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8.991.713 </w:t>
            </w:r>
          </w:p>
        </w:tc>
      </w:tr>
      <w:tr w:rsidR="00080F63"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rsidP="008E10B1">
            <w:pPr>
              <w:spacing w:line="240" w:lineRule="auto"/>
              <w:rPr>
                <w:color w:val="000000"/>
                <w:sz w:val="20"/>
                <w:szCs w:val="20"/>
              </w:rPr>
            </w:pPr>
            <w:r w:rsidRPr="001A5D73">
              <w:rPr>
                <w:color w:val="000000"/>
                <w:sz w:val="20"/>
                <w:szCs w:val="20"/>
              </w:rPr>
              <w:t>Juros e Encargos</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r>
      <w:tr w:rsidR="00080F63"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rsidP="008E10B1">
            <w:pPr>
              <w:spacing w:line="240" w:lineRule="auto"/>
              <w:rPr>
                <w:color w:val="000000"/>
                <w:sz w:val="20"/>
                <w:szCs w:val="20"/>
              </w:rPr>
            </w:pPr>
            <w:r w:rsidRPr="001A5D73">
              <w:rPr>
                <w:color w:val="000000"/>
                <w:sz w:val="20"/>
                <w:szCs w:val="20"/>
              </w:rPr>
              <w:t>Amortizações</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34.302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27.568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22.156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17.806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14.311 </w:t>
            </w:r>
          </w:p>
        </w:tc>
      </w:tr>
      <w:tr w:rsidR="00080F63"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rsidP="008E10B1">
            <w:pPr>
              <w:spacing w:line="240" w:lineRule="auto"/>
              <w:rPr>
                <w:color w:val="000000"/>
                <w:sz w:val="20"/>
                <w:szCs w:val="20"/>
              </w:rPr>
            </w:pPr>
            <w:r w:rsidRPr="001A5D73">
              <w:rPr>
                <w:color w:val="000000"/>
                <w:sz w:val="20"/>
                <w:szCs w:val="20"/>
              </w:rPr>
              <w:t>Manutenção</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3.982.219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4.141.833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4.307.845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4.480.510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4.660.096 </w:t>
            </w:r>
          </w:p>
        </w:tc>
      </w:tr>
      <w:tr w:rsidR="00080F63"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rsidP="008E10B1">
            <w:pPr>
              <w:spacing w:line="240" w:lineRule="auto"/>
              <w:rPr>
                <w:color w:val="000000"/>
                <w:sz w:val="20"/>
                <w:szCs w:val="20"/>
              </w:rPr>
            </w:pPr>
            <w:r w:rsidRPr="001A5D73">
              <w:rPr>
                <w:color w:val="000000"/>
                <w:sz w:val="20"/>
                <w:szCs w:val="20"/>
              </w:rPr>
              <w:t>Depreciação</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F63" w:rsidRPr="001A5D73" w:rsidRDefault="00080F63">
            <w:pPr>
              <w:rPr>
                <w:color w:val="000000"/>
                <w:sz w:val="20"/>
                <w:szCs w:val="20"/>
              </w:rPr>
            </w:pPr>
          </w:p>
        </w:tc>
      </w:tr>
      <w:tr w:rsidR="00080F63"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rsidP="008E10B1">
            <w:pPr>
              <w:spacing w:line="240" w:lineRule="auto"/>
              <w:rPr>
                <w:color w:val="000000"/>
                <w:sz w:val="20"/>
                <w:szCs w:val="20"/>
              </w:rPr>
            </w:pPr>
            <w:r w:rsidRPr="001A5D73">
              <w:rPr>
                <w:color w:val="000000"/>
                <w:sz w:val="20"/>
                <w:szCs w:val="20"/>
              </w:rPr>
              <w:t>Investimentos</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567.319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652.218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749.823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862.034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F63" w:rsidRPr="001A5D73" w:rsidRDefault="00080F63">
            <w:pPr>
              <w:rPr>
                <w:color w:val="000000"/>
                <w:sz w:val="20"/>
                <w:szCs w:val="20"/>
              </w:rPr>
            </w:pPr>
            <w:r w:rsidRPr="001A5D73">
              <w:rPr>
                <w:color w:val="000000"/>
                <w:sz w:val="20"/>
                <w:szCs w:val="20"/>
              </w:rPr>
              <w:t xml:space="preserve">         991.038 </w:t>
            </w:r>
          </w:p>
        </w:tc>
      </w:tr>
      <w:tr w:rsidR="00080F63"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0F63" w:rsidRPr="001A5D73" w:rsidRDefault="00080F63" w:rsidP="008E10B1">
            <w:pPr>
              <w:spacing w:line="240" w:lineRule="auto"/>
              <w:rPr>
                <w:color w:val="000000"/>
                <w:sz w:val="20"/>
                <w:szCs w:val="20"/>
              </w:rPr>
            </w:pPr>
            <w:r w:rsidRPr="001A5D73">
              <w:rPr>
                <w:color w:val="000000"/>
                <w:sz w:val="20"/>
                <w:szCs w:val="20"/>
              </w:rPr>
              <w:t>Total Desp Água</w:t>
            </w:r>
          </w:p>
        </w:tc>
        <w:tc>
          <w:tcPr>
            <w:tcW w:w="14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0F63" w:rsidRPr="001A5D73" w:rsidRDefault="00080F63">
            <w:pPr>
              <w:rPr>
                <w:b/>
                <w:bCs/>
                <w:color w:val="000000"/>
                <w:sz w:val="20"/>
                <w:szCs w:val="20"/>
              </w:rPr>
            </w:pPr>
            <w:r w:rsidRPr="001A5D73">
              <w:rPr>
                <w:b/>
                <w:bCs/>
                <w:color w:val="000000"/>
                <w:sz w:val="20"/>
                <w:szCs w:val="20"/>
              </w:rPr>
              <w:t xml:space="preserve">     9.890.707 </w:t>
            </w:r>
          </w:p>
        </w:tc>
        <w:tc>
          <w:tcPr>
            <w:tcW w:w="14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0F63" w:rsidRPr="001A5D73" w:rsidRDefault="00080F63">
            <w:pPr>
              <w:rPr>
                <w:b/>
                <w:bCs/>
                <w:color w:val="000000"/>
                <w:sz w:val="20"/>
                <w:szCs w:val="20"/>
              </w:rPr>
            </w:pPr>
            <w:r w:rsidRPr="001A5D73">
              <w:rPr>
                <w:b/>
                <w:bCs/>
                <w:color w:val="000000"/>
                <w:sz w:val="20"/>
                <w:szCs w:val="20"/>
              </w:rPr>
              <w:t xml:space="preserve">   10.876.272 </w:t>
            </w:r>
          </w:p>
        </w:tc>
        <w:tc>
          <w:tcPr>
            <w:tcW w:w="14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0F63" w:rsidRPr="001A5D73" w:rsidRDefault="00080F63">
            <w:pPr>
              <w:rPr>
                <w:b/>
                <w:bCs/>
                <w:color w:val="000000"/>
                <w:sz w:val="20"/>
                <w:szCs w:val="20"/>
              </w:rPr>
            </w:pPr>
            <w:r w:rsidRPr="001A5D73">
              <w:rPr>
                <w:b/>
                <w:bCs/>
                <w:color w:val="000000"/>
                <w:sz w:val="20"/>
                <w:szCs w:val="20"/>
              </w:rPr>
              <w:t xml:space="preserve">   11.987.632 </w:t>
            </w:r>
          </w:p>
        </w:tc>
        <w:tc>
          <w:tcPr>
            <w:tcW w:w="14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0F63" w:rsidRPr="001A5D73" w:rsidRDefault="00080F63">
            <w:pPr>
              <w:rPr>
                <w:b/>
                <w:bCs/>
                <w:color w:val="000000"/>
                <w:sz w:val="20"/>
                <w:szCs w:val="20"/>
              </w:rPr>
            </w:pPr>
            <w:r w:rsidRPr="001A5D73">
              <w:rPr>
                <w:b/>
                <w:bCs/>
                <w:color w:val="000000"/>
                <w:sz w:val="20"/>
                <w:szCs w:val="20"/>
              </w:rPr>
              <w:t xml:space="preserve">   13.241.533 </w:t>
            </w:r>
          </w:p>
        </w:tc>
        <w:tc>
          <w:tcPr>
            <w:tcW w:w="14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0F63" w:rsidRPr="001A5D73" w:rsidRDefault="00080F63">
            <w:pPr>
              <w:rPr>
                <w:b/>
                <w:bCs/>
                <w:color w:val="000000"/>
                <w:sz w:val="20"/>
                <w:szCs w:val="20"/>
              </w:rPr>
            </w:pPr>
            <w:r w:rsidRPr="001A5D73">
              <w:rPr>
                <w:b/>
                <w:bCs/>
                <w:color w:val="000000"/>
                <w:sz w:val="20"/>
                <w:szCs w:val="20"/>
              </w:rPr>
              <w:t xml:space="preserve">   14.657.158 </w:t>
            </w:r>
          </w:p>
        </w:tc>
      </w:tr>
      <w:tr w:rsidR="00080F63" w:rsidRPr="001A5D73" w:rsidTr="007B56C7">
        <w:trPr>
          <w:trHeight w:val="335"/>
        </w:trPr>
        <w:tc>
          <w:tcPr>
            <w:tcW w:w="199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0F63" w:rsidRPr="001A5D73" w:rsidRDefault="00080F63" w:rsidP="008E10B1">
            <w:pPr>
              <w:spacing w:line="240" w:lineRule="auto"/>
              <w:rPr>
                <w:color w:val="000000"/>
                <w:sz w:val="20"/>
                <w:szCs w:val="20"/>
              </w:rPr>
            </w:pPr>
            <w:r w:rsidRPr="001A5D73">
              <w:rPr>
                <w:color w:val="000000"/>
                <w:sz w:val="20"/>
                <w:szCs w:val="20"/>
              </w:rPr>
              <w:t>Resultado</w:t>
            </w:r>
          </w:p>
        </w:tc>
        <w:tc>
          <w:tcPr>
            <w:tcW w:w="140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0F63" w:rsidRPr="001A5D73" w:rsidRDefault="00080F63">
            <w:pPr>
              <w:rPr>
                <w:color w:val="000000"/>
                <w:sz w:val="20"/>
                <w:szCs w:val="20"/>
              </w:rPr>
            </w:pPr>
            <w:r w:rsidRPr="001A5D73">
              <w:rPr>
                <w:color w:val="000000"/>
                <w:sz w:val="20"/>
                <w:szCs w:val="20"/>
              </w:rPr>
              <w:t xml:space="preserve">                 118 </w:t>
            </w:r>
          </w:p>
        </w:tc>
        <w:tc>
          <w:tcPr>
            <w:tcW w:w="140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0F63" w:rsidRPr="001A5D73" w:rsidRDefault="00080F63">
            <w:pPr>
              <w:rPr>
                <w:color w:val="000000"/>
                <w:sz w:val="20"/>
                <w:szCs w:val="20"/>
              </w:rPr>
            </w:pPr>
            <w:r w:rsidRPr="001A5D73">
              <w:rPr>
                <w:color w:val="000000"/>
                <w:sz w:val="20"/>
                <w:szCs w:val="20"/>
              </w:rPr>
              <w:t xml:space="preserve">-          31.972 </w:t>
            </w:r>
          </w:p>
        </w:tc>
        <w:tc>
          <w:tcPr>
            <w:tcW w:w="140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0F63" w:rsidRPr="001A5D73" w:rsidRDefault="00080F63">
            <w:pPr>
              <w:rPr>
                <w:color w:val="000000"/>
                <w:sz w:val="20"/>
                <w:szCs w:val="20"/>
              </w:rPr>
            </w:pPr>
            <w:r w:rsidRPr="001A5D73">
              <w:rPr>
                <w:color w:val="000000"/>
                <w:sz w:val="20"/>
                <w:szCs w:val="20"/>
              </w:rPr>
              <w:t xml:space="preserve">-          97.942 </w:t>
            </w:r>
          </w:p>
        </w:tc>
        <w:tc>
          <w:tcPr>
            <w:tcW w:w="140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0F63" w:rsidRPr="001A5D73" w:rsidRDefault="00080F63">
            <w:pPr>
              <w:rPr>
                <w:color w:val="000000"/>
                <w:sz w:val="20"/>
                <w:szCs w:val="20"/>
              </w:rPr>
            </w:pPr>
            <w:r w:rsidRPr="001A5D73">
              <w:rPr>
                <w:color w:val="000000"/>
                <w:sz w:val="20"/>
                <w:szCs w:val="20"/>
              </w:rPr>
              <w:t xml:space="preserve">-       205.676 </w:t>
            </w:r>
          </w:p>
        </w:tc>
        <w:tc>
          <w:tcPr>
            <w:tcW w:w="140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0F63" w:rsidRPr="001A5D73" w:rsidRDefault="00080F63">
            <w:pPr>
              <w:rPr>
                <w:color w:val="000000"/>
                <w:sz w:val="20"/>
                <w:szCs w:val="20"/>
              </w:rPr>
            </w:pPr>
            <w:r w:rsidRPr="001A5D73">
              <w:rPr>
                <w:color w:val="000000"/>
                <w:sz w:val="20"/>
                <w:szCs w:val="20"/>
              </w:rPr>
              <w:t xml:space="preserve">-       364.644 </w:t>
            </w:r>
          </w:p>
        </w:tc>
      </w:tr>
    </w:tbl>
    <w:p w:rsidR="00464D0C" w:rsidRDefault="00464D0C" w:rsidP="001A5D73">
      <w:pPr>
        <w:ind w:firstLine="851"/>
        <w:jc w:val="both"/>
        <w:rPr>
          <w:b/>
        </w:rPr>
      </w:pPr>
    </w:p>
    <w:p w:rsidR="00442FD5" w:rsidRDefault="002629FD" w:rsidP="00F65605">
      <w:pPr>
        <w:jc w:val="both"/>
        <w:rPr>
          <w:b/>
        </w:rPr>
      </w:pPr>
      <w:r w:rsidRPr="00F65605">
        <w:rPr>
          <w:b/>
          <w:u w:val="single"/>
        </w:rPr>
        <w:t>Da Decisão</w:t>
      </w:r>
      <w:r w:rsidR="001A5D73">
        <w:rPr>
          <w:b/>
        </w:rPr>
        <w:t>:</w:t>
      </w:r>
    </w:p>
    <w:p w:rsidR="00C334A8" w:rsidRPr="001A5D73" w:rsidRDefault="00C334A8" w:rsidP="00F65605">
      <w:pPr>
        <w:jc w:val="both"/>
        <w:rPr>
          <w:b/>
        </w:rPr>
      </w:pPr>
    </w:p>
    <w:p w:rsidR="005819E2" w:rsidRPr="001A5D73" w:rsidRDefault="005819E2" w:rsidP="001A5D73">
      <w:pPr>
        <w:pStyle w:val="texto1"/>
        <w:spacing w:before="0" w:beforeAutospacing="0" w:after="0" w:afterAutospacing="0" w:line="360" w:lineRule="auto"/>
        <w:ind w:firstLine="851"/>
        <w:jc w:val="both"/>
      </w:pPr>
      <w:r w:rsidRPr="001A5D73">
        <w:t xml:space="preserve">Considerando o </w:t>
      </w:r>
      <w:r w:rsidR="001A5D73">
        <w:t>Artigo</w:t>
      </w:r>
      <w:r w:rsidRPr="001A5D73">
        <w:t xml:space="preserve"> 38 da Lei </w:t>
      </w:r>
      <w:r w:rsidR="001A5D73">
        <w:t xml:space="preserve">nº </w:t>
      </w:r>
      <w:r w:rsidRPr="001A5D73">
        <w:t>11.445/2007 que escreve “As revisões tarifárias compreenderão a reavaliação das condições da prestação dos serviços e das tarifas praticadas e poderão ser: I - periódicas, objetivando a distribuição dos ganhos de produtividade com os usuários e a reavaliação das condições de mercado;</w:t>
      </w:r>
    </w:p>
    <w:p w:rsidR="00464D0C" w:rsidRDefault="00464D0C" w:rsidP="001A5D73">
      <w:pPr>
        <w:pStyle w:val="texto1"/>
        <w:spacing w:before="0" w:beforeAutospacing="0" w:after="0" w:afterAutospacing="0" w:line="360" w:lineRule="auto"/>
        <w:ind w:firstLine="851"/>
        <w:jc w:val="both"/>
      </w:pPr>
    </w:p>
    <w:p w:rsidR="005819E2" w:rsidRDefault="005819E2" w:rsidP="001A5D73">
      <w:pPr>
        <w:pStyle w:val="texto1"/>
        <w:spacing w:before="0" w:beforeAutospacing="0" w:after="0" w:afterAutospacing="0" w:line="360" w:lineRule="auto"/>
        <w:ind w:firstLine="851"/>
        <w:jc w:val="both"/>
      </w:pPr>
      <w:r w:rsidRPr="001A5D73">
        <w:t xml:space="preserve">Considerando o </w:t>
      </w:r>
      <w:r w:rsidR="001A5D73">
        <w:t>Artigo</w:t>
      </w:r>
      <w:r w:rsidRPr="001A5D73">
        <w:t xml:space="preserve"> 22</w:t>
      </w:r>
      <w:r w:rsidR="001A5D73">
        <w:t>, I</w:t>
      </w:r>
      <w:r w:rsidRPr="001A5D73">
        <w:t xml:space="preserve">nciso IV da Lei </w:t>
      </w:r>
      <w:r w:rsidR="001A5D73">
        <w:t xml:space="preserve">nº </w:t>
      </w:r>
      <w:r w:rsidRPr="001A5D73">
        <w:t xml:space="preserve">11.445/2007 que apresenta </w:t>
      </w:r>
      <w:r w:rsidR="007C0C8D">
        <w:t>como um dos objetivos da regulação</w:t>
      </w:r>
      <w:r w:rsidRPr="001A5D73">
        <w:t>:</w:t>
      </w:r>
    </w:p>
    <w:p w:rsidR="001A5D73" w:rsidRPr="001A5D73" w:rsidRDefault="001A5D73" w:rsidP="001A5D73">
      <w:pPr>
        <w:pStyle w:val="texto1"/>
        <w:spacing w:before="0" w:beforeAutospacing="0" w:after="0" w:afterAutospacing="0" w:line="360" w:lineRule="auto"/>
        <w:ind w:firstLine="851"/>
        <w:jc w:val="both"/>
      </w:pPr>
    </w:p>
    <w:p w:rsidR="005819E2" w:rsidRPr="001A5D73" w:rsidRDefault="007C0C8D" w:rsidP="001A5D73">
      <w:pPr>
        <w:pStyle w:val="texto1"/>
        <w:spacing w:before="0" w:beforeAutospacing="0" w:after="0" w:afterAutospacing="0"/>
        <w:ind w:left="3538"/>
        <w:jc w:val="both"/>
        <w:rPr>
          <w:sz w:val="20"/>
          <w:szCs w:val="20"/>
        </w:rPr>
      </w:pPr>
      <w:r>
        <w:rPr>
          <w:sz w:val="20"/>
          <w:szCs w:val="20"/>
        </w:rPr>
        <w:t xml:space="preserve">IV - </w:t>
      </w:r>
      <w:r w:rsidR="005819E2" w:rsidRPr="001A5D73">
        <w:rPr>
          <w:sz w:val="20"/>
          <w:szCs w:val="20"/>
        </w:rPr>
        <w:t>definir tarifas que assegurem tanto o equilíbrio econômico e financeiro dos contratos como a modicidade tarifária, mediante mecanismos que induzam a eficiência e eficácia dos serviços e que permitam a apropriação social dos ganhos de produtividade.</w:t>
      </w:r>
    </w:p>
    <w:p w:rsidR="008A3B71" w:rsidRPr="001A5D73" w:rsidRDefault="002629FD" w:rsidP="00670754">
      <w:pPr>
        <w:ind w:firstLine="851"/>
        <w:jc w:val="both"/>
      </w:pPr>
      <w:r w:rsidRPr="001A5D73">
        <w:lastRenderedPageBreak/>
        <w:t xml:space="preserve">Apresentamos a decisão </w:t>
      </w:r>
      <w:r w:rsidR="00E420F7" w:rsidRPr="001A5D73">
        <w:t>p</w:t>
      </w:r>
      <w:r w:rsidR="005819E2" w:rsidRPr="001A5D73">
        <w:t>o</w:t>
      </w:r>
      <w:r w:rsidR="00E420F7" w:rsidRPr="001A5D73">
        <w:t>r</w:t>
      </w:r>
      <w:r w:rsidR="005819E2" w:rsidRPr="001A5D73">
        <w:t xml:space="preserve"> aumento </w:t>
      </w:r>
      <w:r w:rsidRPr="001A5D73">
        <w:t xml:space="preserve">de </w:t>
      </w:r>
      <w:r w:rsidRPr="001A5D73">
        <w:rPr>
          <w:b/>
        </w:rPr>
        <w:t>9</w:t>
      </w:r>
      <w:r w:rsidR="00080F63" w:rsidRPr="001A5D73">
        <w:rPr>
          <w:b/>
        </w:rPr>
        <w:t>,64</w:t>
      </w:r>
      <w:r w:rsidRPr="001A5D73">
        <w:rPr>
          <w:b/>
        </w:rPr>
        <w:t xml:space="preserve">% </w:t>
      </w:r>
      <w:r w:rsidRPr="002C6E92">
        <w:t>(nove</w:t>
      </w:r>
      <w:r w:rsidR="00080F63" w:rsidRPr="002C6E92">
        <w:t xml:space="preserve"> v</w:t>
      </w:r>
      <w:r w:rsidR="008A3B71" w:rsidRPr="002C6E92">
        <w:t>í</w:t>
      </w:r>
      <w:r w:rsidR="00080F63" w:rsidRPr="002C6E92">
        <w:t>rgula sessenta e quatro</w:t>
      </w:r>
      <w:r w:rsidRPr="002C6E92">
        <w:t xml:space="preserve"> por cento) </w:t>
      </w:r>
      <w:r w:rsidRPr="001A5D73">
        <w:t xml:space="preserve">de reajuste linear na tabela de preços e serviços baseado no fluxo de caixa projetado </w:t>
      </w:r>
      <w:r w:rsidR="005819E2" w:rsidRPr="001A5D73">
        <w:t xml:space="preserve">acima </w:t>
      </w:r>
      <w:r w:rsidR="002C6E92">
        <w:t>evidenciado</w:t>
      </w:r>
      <w:r w:rsidR="0056482D" w:rsidRPr="001A5D73">
        <w:t>,</w:t>
      </w:r>
      <w:r w:rsidR="005819E2" w:rsidRPr="001A5D73">
        <w:t xml:space="preserve"> </w:t>
      </w:r>
      <w:r w:rsidR="00E420F7" w:rsidRPr="001A5D73">
        <w:t xml:space="preserve">e </w:t>
      </w:r>
      <w:r w:rsidR="005819E2" w:rsidRPr="001A5D73">
        <w:t>desta forma zelando pela manutenção dos investimentos no sistema de tratamento e abastecimento de água</w:t>
      </w:r>
      <w:r w:rsidR="002C6E92">
        <w:t xml:space="preserve"> no Município de Gaspar</w:t>
      </w:r>
      <w:r w:rsidR="008A3B71" w:rsidRPr="001A5D73">
        <w:t>.</w:t>
      </w:r>
    </w:p>
    <w:p w:rsidR="00464D0C" w:rsidRDefault="00464D0C" w:rsidP="00670754">
      <w:pPr>
        <w:ind w:firstLine="851"/>
        <w:jc w:val="both"/>
      </w:pPr>
    </w:p>
    <w:p w:rsidR="002C6E92" w:rsidRDefault="00E420F7" w:rsidP="00670754">
      <w:pPr>
        <w:ind w:firstLine="851"/>
        <w:jc w:val="both"/>
      </w:pPr>
      <w:r w:rsidRPr="001A5D73">
        <w:t xml:space="preserve">As despesas totais </w:t>
      </w:r>
      <w:r w:rsidR="00EA557A" w:rsidRPr="001A5D73">
        <w:t>evoluíram</w:t>
      </w:r>
      <w:r w:rsidRPr="001A5D73">
        <w:t xml:space="preserve"> a uma média dos últimos cinco ano</w:t>
      </w:r>
      <w:r w:rsidR="002C6E92">
        <w:t>s</w:t>
      </w:r>
      <w:r w:rsidRPr="001A5D73">
        <w:t xml:space="preserve"> em 7,36%, e os custos unitários ficaram defasados nos últimos dois anos com percentuais acima de 20% conforme demonstrado acima, </w:t>
      </w:r>
      <w:r w:rsidR="002C6E92">
        <w:t xml:space="preserve">os quais </w:t>
      </w:r>
      <w:r w:rsidRPr="001A5D73">
        <w:t xml:space="preserve">não serviram de base para aplicação de reajuste neste patamar haja vista que a tabela de preços </w:t>
      </w:r>
      <w:r w:rsidR="00196248" w:rsidRPr="001A5D73">
        <w:t>é</w:t>
      </w:r>
      <w:r w:rsidRPr="001A5D73">
        <w:t xml:space="preserve"> progressiva </w:t>
      </w:r>
      <w:r w:rsidR="002C6E92">
        <w:t xml:space="preserve">e </w:t>
      </w:r>
      <w:r w:rsidRPr="001A5D73">
        <w:t xml:space="preserve">com isso </w:t>
      </w:r>
      <w:r w:rsidR="002C6E92">
        <w:t xml:space="preserve">alcançam ganhos </w:t>
      </w:r>
      <w:r w:rsidRPr="001A5D73">
        <w:t>maiores</w:t>
      </w:r>
      <w:r w:rsidR="002C6E92">
        <w:t>,</w:t>
      </w:r>
      <w:r w:rsidRPr="001A5D73">
        <w:t xml:space="preserve"> tornando as contas equilibra</w:t>
      </w:r>
      <w:r w:rsidR="002C6E92">
        <w:t>da</w:t>
      </w:r>
      <w:r w:rsidRPr="001A5D73">
        <w:t xml:space="preserve">s. </w:t>
      </w:r>
    </w:p>
    <w:p w:rsidR="00464D0C" w:rsidRDefault="00464D0C" w:rsidP="00464D0C">
      <w:pPr>
        <w:ind w:firstLine="851"/>
        <w:jc w:val="both"/>
      </w:pPr>
    </w:p>
    <w:p w:rsidR="00464D0C" w:rsidRDefault="00E420F7" w:rsidP="00464D0C">
      <w:pPr>
        <w:ind w:firstLine="851"/>
        <w:jc w:val="both"/>
      </w:pPr>
      <w:r w:rsidRPr="001A5D73">
        <w:t xml:space="preserve">Nota-se que </w:t>
      </w:r>
      <w:r w:rsidR="008A3B71" w:rsidRPr="001A5D73">
        <w:t>as de</w:t>
      </w:r>
      <w:r w:rsidR="003819F1" w:rsidRPr="001A5D73">
        <w:t>s</w:t>
      </w:r>
      <w:r w:rsidR="008A3B71" w:rsidRPr="001A5D73">
        <w:t>pesas de pessoal e manutenção apresentaram impactos significativos</w:t>
      </w:r>
      <w:r w:rsidRPr="001A5D73">
        <w:t xml:space="preserve"> nos últimos três anos</w:t>
      </w:r>
      <w:r w:rsidR="003819F1" w:rsidRPr="001A5D73">
        <w:t xml:space="preserve">, </w:t>
      </w:r>
      <w:r w:rsidR="008A3B71" w:rsidRPr="001A5D73">
        <w:t xml:space="preserve">justificados </w:t>
      </w:r>
      <w:r w:rsidRPr="001A5D73">
        <w:t xml:space="preserve">a tempo </w:t>
      </w:r>
      <w:r w:rsidR="008A3B71" w:rsidRPr="001A5D73">
        <w:t xml:space="preserve">pela </w:t>
      </w:r>
      <w:r w:rsidR="002C6E92">
        <w:t>A</w:t>
      </w:r>
      <w:r w:rsidR="008A3B71" w:rsidRPr="001A5D73">
        <w:t xml:space="preserve">utarquia </w:t>
      </w:r>
      <w:r w:rsidR="002C6E92">
        <w:t>como</w:t>
      </w:r>
      <w:r w:rsidR="008A3B71" w:rsidRPr="001A5D73">
        <w:t xml:space="preserve"> </w:t>
      </w:r>
      <w:r w:rsidRPr="001A5D73">
        <w:t xml:space="preserve">enquadramentos e </w:t>
      </w:r>
      <w:r w:rsidR="008A3B71" w:rsidRPr="001A5D73">
        <w:t xml:space="preserve">ajustes de salário de pessoal operacional próprio </w:t>
      </w:r>
      <w:r w:rsidR="003819F1" w:rsidRPr="001A5D73">
        <w:t>e manutenção por troca de produtos químicos com melhor eficiência de tratamento</w:t>
      </w:r>
      <w:r w:rsidRPr="001A5D73">
        <w:t xml:space="preserve">. Nesta mesma análise das despesas observa-se </w:t>
      </w:r>
      <w:r w:rsidR="003819F1" w:rsidRPr="001A5D73">
        <w:t xml:space="preserve">uma redução de gastos energéticos no último ano, </w:t>
      </w:r>
      <w:r w:rsidR="002C6E92">
        <w:t>o qual</w:t>
      </w:r>
      <w:r w:rsidRPr="001A5D73">
        <w:t xml:space="preserve"> identificado pela </w:t>
      </w:r>
      <w:r w:rsidR="002C6E92">
        <w:t>A</w:t>
      </w:r>
      <w:r w:rsidRPr="001A5D73">
        <w:t>utarquia como resultado de ações de manutenção e correção em bombas que foram substituídas.</w:t>
      </w:r>
    </w:p>
    <w:p w:rsidR="00464D0C" w:rsidRDefault="00464D0C" w:rsidP="00464D0C">
      <w:pPr>
        <w:ind w:firstLine="851"/>
        <w:jc w:val="both"/>
      </w:pPr>
    </w:p>
    <w:p w:rsidR="00464D0C" w:rsidRDefault="00DA4151" w:rsidP="00464D0C">
      <w:pPr>
        <w:ind w:firstLine="851"/>
        <w:jc w:val="both"/>
      </w:pPr>
      <w:r>
        <w:t>A manutenção da equivalência entre encargos assumidos e vantagens deve ocorrer durante toda exe</w:t>
      </w:r>
      <w:r w:rsidR="00464D0C">
        <w:t>cução do contrato, conforme imp</w:t>
      </w:r>
      <w:r>
        <w:t>õem a Constituição Federal (</w:t>
      </w:r>
      <w:r w:rsidR="00464D0C">
        <w:t>A</w:t>
      </w:r>
      <w:r>
        <w:t xml:space="preserve">rtigo 37, </w:t>
      </w:r>
      <w:r w:rsidR="00464D0C">
        <w:t>I</w:t>
      </w:r>
      <w:r>
        <w:t xml:space="preserve">nciso XXI) e as leis que disciplinam os contratos administrativos (Lei nº 8.666/93, </w:t>
      </w:r>
      <w:r w:rsidR="00464D0C">
        <w:t>A</w:t>
      </w:r>
      <w:r>
        <w:t xml:space="preserve">rtigos 57, § 1º e, 58, §§ 1ª e 2º, e 65, </w:t>
      </w:r>
      <w:r w:rsidR="00464D0C">
        <w:t>I</w:t>
      </w:r>
      <w:r>
        <w:t xml:space="preserve">nciso II, alínea </w:t>
      </w:r>
      <w:r>
        <w:rPr>
          <w:i/>
        </w:rPr>
        <w:t>d</w:t>
      </w:r>
      <w:r>
        <w:t xml:space="preserve">; Lei nº 8.987/95, </w:t>
      </w:r>
      <w:r w:rsidR="00464D0C">
        <w:t>Artigo</w:t>
      </w:r>
      <w:r>
        <w:t xml:space="preserve"> 9º, §§ 3º e 4º, entre diversas outras leis, e em especial a legislação da regulação específica</w:t>
      </w:r>
      <w:r w:rsidR="00464D0C">
        <w:t>).</w:t>
      </w:r>
      <w:r>
        <w:t xml:space="preserve"> </w:t>
      </w:r>
    </w:p>
    <w:p w:rsidR="00464D0C" w:rsidRDefault="00464D0C" w:rsidP="00464D0C">
      <w:pPr>
        <w:ind w:firstLine="851"/>
        <w:jc w:val="both"/>
      </w:pPr>
    </w:p>
    <w:p w:rsidR="00DA4151" w:rsidRPr="00464D0C" w:rsidRDefault="00DA4151" w:rsidP="00464D0C">
      <w:pPr>
        <w:ind w:firstLine="851"/>
        <w:jc w:val="both"/>
      </w:pPr>
      <w:r w:rsidRPr="00464D0C">
        <w:t xml:space="preserve">A decisão neste sentido tem também o seu suporte na doutrina e na jurisprudência dos nossos tribunais. O reajuste, no dizer de Rafael </w:t>
      </w:r>
      <w:r w:rsidR="00C334A8">
        <w:t>Wallbach Schwind</w:t>
      </w:r>
      <w:r w:rsidRPr="00464D0C">
        <w:t xml:space="preserve"> “geralmente é previsto de modo a permitir a sua aplicação periódica e automática dentro de determinado lapso temporal”.</w:t>
      </w:r>
    </w:p>
    <w:p w:rsidR="00464D0C" w:rsidRPr="00464D0C" w:rsidRDefault="00DA4151" w:rsidP="00DA4151">
      <w:pPr>
        <w:jc w:val="both"/>
      </w:pPr>
      <w:r w:rsidRPr="00464D0C">
        <w:t>É na verdade um procedimento bastante simplificado que independe de juízo de valores ou de provas técnicas. É o resultado de aplicação de solução matemática previ</w:t>
      </w:r>
      <w:r w:rsidR="00464D0C" w:rsidRPr="00464D0C">
        <w:t>a</w:t>
      </w:r>
      <w:r w:rsidRPr="00464D0C">
        <w:t>mente estabelecida.</w:t>
      </w:r>
      <w:r w:rsidR="00464D0C" w:rsidRPr="00464D0C">
        <w:t xml:space="preserve"> </w:t>
      </w:r>
      <w:r w:rsidRPr="00464D0C">
        <w:t xml:space="preserve">Marçal Justem Filho, </w:t>
      </w:r>
      <w:r w:rsidRPr="00464D0C">
        <w:rPr>
          <w:i/>
        </w:rPr>
        <w:t xml:space="preserve">apud </w:t>
      </w:r>
      <w:r w:rsidRPr="00464D0C">
        <w:t>Rafel W. Schwind</w:t>
      </w:r>
      <w:r w:rsidRPr="00464D0C">
        <w:rPr>
          <w:rStyle w:val="Refdenotadefim"/>
        </w:rPr>
        <w:endnoteReference w:id="1"/>
      </w:r>
      <w:r w:rsidRPr="00464D0C">
        <w:t>, diz que “dispensa as partes de promover demorados levantamento acerca dos fatos e de seus efeitos” (2003, p. 403).</w:t>
      </w:r>
    </w:p>
    <w:p w:rsidR="00DA4151" w:rsidRPr="00F624B6" w:rsidRDefault="00DA4151" w:rsidP="00464D0C">
      <w:pPr>
        <w:ind w:firstLine="851"/>
        <w:jc w:val="both"/>
      </w:pPr>
      <w:r w:rsidRPr="00464D0C">
        <w:lastRenderedPageBreak/>
        <w:t xml:space="preserve">De outra parte, a autorização da aplicação do índice, como no caso, acima do percentual pactuado, também tem a seu favor a aplicação das condições gerais dos serviços de abastecimento de água no quesito da sustentação econômica dos serviços. Essa aceitação de percentual acima da previsão tida como normal e necessária, tem o condão de transitar em sintonia com a </w:t>
      </w:r>
      <w:r w:rsidR="00464D0C" w:rsidRPr="00464D0C">
        <w:t>P</w:t>
      </w:r>
      <w:r w:rsidRPr="00464D0C">
        <w:t xml:space="preserve">olítica </w:t>
      </w:r>
      <w:r w:rsidR="00464D0C" w:rsidRPr="00464D0C">
        <w:t>e o Plano Municipal do S</w:t>
      </w:r>
      <w:r w:rsidRPr="00464D0C">
        <w:t xml:space="preserve">aneamento </w:t>
      </w:r>
      <w:r w:rsidR="00464D0C" w:rsidRPr="00464D0C">
        <w:t>B</w:t>
      </w:r>
      <w:r w:rsidRPr="00464D0C">
        <w:t>ásico</w:t>
      </w:r>
      <w:r w:rsidR="00464D0C" w:rsidRPr="00464D0C">
        <w:t>,</w:t>
      </w:r>
      <w:r w:rsidRPr="00464D0C">
        <w:t xml:space="preserve"> para que com a geração de receita as metas estabelecidas possam ser alcançadas. Não se descarta, porém, que em próximo reajuste</w:t>
      </w:r>
      <w:r w:rsidR="00464D0C" w:rsidRPr="00464D0C">
        <w:t>/revisão</w:t>
      </w:r>
      <w:r w:rsidRPr="00464D0C">
        <w:t>, verificada a não aplicação e cumprimento de metas que ora dão a sustentação ao aumento, este poderá ser reduzido, como penalização pela inobservância das metas.</w:t>
      </w:r>
    </w:p>
    <w:p w:rsidR="00464D0C" w:rsidRDefault="00464D0C" w:rsidP="004A1D5F">
      <w:pPr>
        <w:ind w:firstLine="851"/>
        <w:jc w:val="both"/>
        <w:rPr>
          <w:bCs/>
        </w:rPr>
      </w:pPr>
    </w:p>
    <w:p w:rsidR="002C6E92" w:rsidRPr="002D3193" w:rsidRDefault="002C6E92" w:rsidP="004A1D5F">
      <w:pPr>
        <w:ind w:firstLine="851"/>
        <w:jc w:val="both"/>
        <w:rPr>
          <w:bCs/>
          <w:color w:val="FF0000"/>
        </w:rPr>
      </w:pPr>
      <w:r w:rsidRPr="00AA6DE7">
        <w:rPr>
          <w:bCs/>
        </w:rPr>
        <w:t xml:space="preserve">Assim, ficam homologadas as </w:t>
      </w:r>
      <w:r w:rsidR="004A1D5F" w:rsidRPr="00AA6DE7">
        <w:rPr>
          <w:bCs/>
        </w:rPr>
        <w:t>t</w:t>
      </w:r>
      <w:r w:rsidRPr="00AA6DE7">
        <w:rPr>
          <w:bCs/>
        </w:rPr>
        <w:t xml:space="preserve">abelas </w:t>
      </w:r>
      <w:r w:rsidR="004A1D5F" w:rsidRPr="00AA6DE7">
        <w:rPr>
          <w:bCs/>
        </w:rPr>
        <w:t>t</w:t>
      </w:r>
      <w:r w:rsidRPr="00AA6DE7">
        <w:rPr>
          <w:bCs/>
        </w:rPr>
        <w:t xml:space="preserve">arifárias </w:t>
      </w:r>
      <w:r w:rsidR="00C369EF" w:rsidRPr="00AA6DE7">
        <w:rPr>
          <w:bCs/>
        </w:rPr>
        <w:t>de água e serviços diversos</w:t>
      </w:r>
      <w:r w:rsidRPr="00AA6DE7">
        <w:rPr>
          <w:bCs/>
        </w:rPr>
        <w:t>, com os seguintes valores e categorias de consumo</w:t>
      </w:r>
      <w:r w:rsidR="00C369EF" w:rsidRPr="00AA6DE7">
        <w:rPr>
          <w:bCs/>
        </w:rPr>
        <w:t>, conforme modelo de Decreto encaminhado pela Autarquia, parte integrante desta Decisão como Anexo I</w:t>
      </w:r>
      <w:r w:rsidR="00C369EF" w:rsidRPr="002D3193">
        <w:rPr>
          <w:bCs/>
          <w:color w:val="FF0000"/>
        </w:rPr>
        <w:t>.</w:t>
      </w:r>
      <w:r w:rsidR="002D3193" w:rsidRPr="002D3193">
        <w:rPr>
          <w:bCs/>
          <w:color w:val="FF0000"/>
        </w:rPr>
        <w:t xml:space="preserve"> </w:t>
      </w:r>
      <w:r w:rsidR="00170664" w:rsidRPr="00170664">
        <w:rPr>
          <w:bCs/>
        </w:rPr>
        <w:t>Registra-se que o serviço</w:t>
      </w:r>
      <w:r w:rsidR="00A9008A" w:rsidRPr="00170664">
        <w:rPr>
          <w:bCs/>
        </w:rPr>
        <w:t xml:space="preserve">: “valor do hidrômetro de 1 polegada” não </w:t>
      </w:r>
      <w:r w:rsidR="002D3193" w:rsidRPr="00170664">
        <w:rPr>
          <w:bCs/>
        </w:rPr>
        <w:t>fo</w:t>
      </w:r>
      <w:r w:rsidR="00A9008A" w:rsidRPr="00170664">
        <w:rPr>
          <w:bCs/>
        </w:rPr>
        <w:t>i</w:t>
      </w:r>
      <w:r w:rsidR="002D3193" w:rsidRPr="00170664">
        <w:rPr>
          <w:bCs/>
        </w:rPr>
        <w:t xml:space="preserve"> </w:t>
      </w:r>
      <w:r w:rsidR="00A9008A" w:rsidRPr="00170664">
        <w:rPr>
          <w:bCs/>
        </w:rPr>
        <w:t>contemplado</w:t>
      </w:r>
      <w:r w:rsidR="00170664" w:rsidRPr="00170664">
        <w:rPr>
          <w:bCs/>
        </w:rPr>
        <w:t xml:space="preserve"> no ANEXO 1 e no serviço </w:t>
      </w:r>
      <w:r w:rsidR="00A9008A" w:rsidRPr="00170664">
        <w:rPr>
          <w:bCs/>
        </w:rPr>
        <w:t xml:space="preserve">“substituição de hidrômetro em decorrência de danificações causadas pelo consumidor ou por terceiros” </w:t>
      </w:r>
      <w:r w:rsidR="00170664" w:rsidRPr="00170664">
        <w:rPr>
          <w:bCs/>
        </w:rPr>
        <w:t xml:space="preserve">manteve-se </w:t>
      </w:r>
      <w:r w:rsidR="00A9008A" w:rsidRPr="00170664">
        <w:rPr>
          <w:bCs/>
        </w:rPr>
        <w:t xml:space="preserve">a estrutura do </w:t>
      </w:r>
      <w:r w:rsidR="00170664" w:rsidRPr="00170664">
        <w:rPr>
          <w:bCs/>
        </w:rPr>
        <w:t>D</w:t>
      </w:r>
      <w:r w:rsidR="00A9008A" w:rsidRPr="00170664">
        <w:rPr>
          <w:bCs/>
        </w:rPr>
        <w:t>ecreto anterior</w:t>
      </w:r>
      <w:r w:rsidR="00170664" w:rsidRPr="00170664">
        <w:rPr>
          <w:bCs/>
        </w:rPr>
        <w:t>, visto que para a</w:t>
      </w:r>
      <w:r w:rsidR="00A9008A" w:rsidRPr="00170664">
        <w:rPr>
          <w:bCs/>
        </w:rPr>
        <w:t xml:space="preserve">mbos os serviços não </w:t>
      </w:r>
      <w:r w:rsidR="00170664" w:rsidRPr="00170664">
        <w:rPr>
          <w:bCs/>
        </w:rPr>
        <w:t>foi</w:t>
      </w:r>
      <w:r w:rsidR="00A9008A" w:rsidRPr="00170664">
        <w:rPr>
          <w:bCs/>
        </w:rPr>
        <w:t xml:space="preserve"> </w:t>
      </w:r>
      <w:r w:rsidR="00170664" w:rsidRPr="00170664">
        <w:rPr>
          <w:bCs/>
        </w:rPr>
        <w:t>apresentada sua</w:t>
      </w:r>
      <w:r w:rsidR="00A9008A" w:rsidRPr="00170664">
        <w:rPr>
          <w:bCs/>
        </w:rPr>
        <w:t xml:space="preserve"> composição de custos.</w:t>
      </w:r>
    </w:p>
    <w:p w:rsidR="00464D0C" w:rsidRDefault="00464D0C" w:rsidP="002C6E92">
      <w:pPr>
        <w:ind w:firstLine="851"/>
        <w:jc w:val="both"/>
      </w:pPr>
    </w:p>
    <w:p w:rsidR="002C6E92" w:rsidRPr="001A5D73" w:rsidRDefault="00BE089B" w:rsidP="002C6E92">
      <w:pPr>
        <w:ind w:firstLine="851"/>
        <w:jc w:val="both"/>
      </w:pPr>
      <w:r>
        <w:t>Mediante o exposto, r</w:t>
      </w:r>
      <w:r w:rsidR="002C6E92" w:rsidRPr="001A5D73">
        <w:t xml:space="preserve">ecomenda-se que a </w:t>
      </w:r>
      <w:r>
        <w:t>Autarquia</w:t>
      </w:r>
      <w:r w:rsidR="002C6E92" w:rsidRPr="001A5D73">
        <w:t xml:space="preserve"> para os próximos reajustes e revisões: </w:t>
      </w:r>
    </w:p>
    <w:p w:rsidR="002C6E92" w:rsidRPr="001A5D73" w:rsidRDefault="002C6E92" w:rsidP="002C6E92">
      <w:pPr>
        <w:pStyle w:val="PargrafodaLista"/>
        <w:numPr>
          <w:ilvl w:val="0"/>
          <w:numId w:val="2"/>
        </w:numPr>
        <w:jc w:val="both"/>
      </w:pPr>
      <w:r w:rsidRPr="001A5D73">
        <w:t>Adote as despesas com depreciação;</w:t>
      </w:r>
    </w:p>
    <w:p w:rsidR="002C6E92" w:rsidRPr="001A5D73" w:rsidRDefault="00BE089B" w:rsidP="002C6E92">
      <w:pPr>
        <w:pStyle w:val="PargrafodaLista"/>
        <w:numPr>
          <w:ilvl w:val="0"/>
          <w:numId w:val="2"/>
        </w:numPr>
        <w:jc w:val="both"/>
      </w:pPr>
      <w:r>
        <w:t>I</w:t>
      </w:r>
      <w:r w:rsidR="002C6E92" w:rsidRPr="001A5D73">
        <w:t>mplante macromedidores para apuração exata de metro cubico tratado;</w:t>
      </w:r>
    </w:p>
    <w:p w:rsidR="002C6E92" w:rsidRDefault="00BE089B" w:rsidP="002C6E92">
      <w:pPr>
        <w:pStyle w:val="PargrafodaLista"/>
        <w:numPr>
          <w:ilvl w:val="0"/>
          <w:numId w:val="2"/>
        </w:numPr>
        <w:jc w:val="both"/>
      </w:pPr>
      <w:r>
        <w:t xml:space="preserve">Demonstra a </w:t>
      </w:r>
      <w:r w:rsidR="002C6E92" w:rsidRPr="001A5D73">
        <w:t xml:space="preserve">separação das despesas de investimento </w:t>
      </w:r>
      <w:r>
        <w:t>e</w:t>
      </w:r>
      <w:r w:rsidR="002C6E92" w:rsidRPr="001A5D73">
        <w:t xml:space="preserve"> de manutenção, principalmente no aspecto de implantação e ampliação de tubulações de redes;</w:t>
      </w:r>
    </w:p>
    <w:p w:rsidR="00BE089B" w:rsidRDefault="00BE089B" w:rsidP="002C6E92">
      <w:pPr>
        <w:pStyle w:val="PargrafodaLista"/>
        <w:numPr>
          <w:ilvl w:val="0"/>
          <w:numId w:val="2"/>
        </w:numPr>
        <w:jc w:val="both"/>
      </w:pPr>
      <w:r>
        <w:t>Apresente a comprovação de todos os investimentos previstos neste processo de revisão com base em seu Plano Municipal de Saneamento;</w:t>
      </w:r>
    </w:p>
    <w:p w:rsidR="00BE089B" w:rsidRDefault="00BE089B" w:rsidP="002C6E92">
      <w:pPr>
        <w:pStyle w:val="PargrafodaLista"/>
        <w:numPr>
          <w:ilvl w:val="0"/>
          <w:numId w:val="2"/>
        </w:numPr>
        <w:jc w:val="both"/>
      </w:pPr>
      <w:r>
        <w:t>Busque ações de eficiência e eficácia para as perdas no sistema de água;</w:t>
      </w:r>
    </w:p>
    <w:p w:rsidR="00BE089B" w:rsidRDefault="004A1D5F" w:rsidP="002C6E92">
      <w:pPr>
        <w:pStyle w:val="PargrafodaLista"/>
        <w:numPr>
          <w:ilvl w:val="0"/>
          <w:numId w:val="2"/>
        </w:numPr>
        <w:jc w:val="both"/>
      </w:pPr>
      <w:r>
        <w:t>Institua um centro de custos, contemplando e separando as áreas de água, esgotamento e resíduos sólidos.</w:t>
      </w:r>
    </w:p>
    <w:p w:rsidR="00464D0C" w:rsidRDefault="00464D0C" w:rsidP="00BE089B">
      <w:pPr>
        <w:suppressAutoHyphens/>
        <w:ind w:firstLine="851"/>
        <w:jc w:val="both"/>
        <w:rPr>
          <w:bCs/>
          <w:sz w:val="23"/>
          <w:szCs w:val="23"/>
        </w:rPr>
      </w:pPr>
    </w:p>
    <w:p w:rsidR="00BE089B" w:rsidRDefault="002C6E92" w:rsidP="00BE089B">
      <w:pPr>
        <w:suppressAutoHyphens/>
        <w:ind w:firstLine="851"/>
        <w:jc w:val="both"/>
        <w:rPr>
          <w:bCs/>
          <w:sz w:val="23"/>
          <w:szCs w:val="23"/>
        </w:rPr>
      </w:pPr>
      <w:r w:rsidRPr="004B5012">
        <w:rPr>
          <w:bCs/>
          <w:sz w:val="23"/>
          <w:szCs w:val="23"/>
        </w:rPr>
        <w:lastRenderedPageBreak/>
        <w:t xml:space="preserve">A </w:t>
      </w:r>
      <w:r w:rsidRPr="00AA6DE7">
        <w:rPr>
          <w:bCs/>
        </w:rPr>
        <w:t>presente Decisão entra em vigor a partir da sua publicação no Diário Oficial dos Municípios</w:t>
      </w:r>
      <w:r w:rsidR="004A1D5F" w:rsidRPr="00AA6DE7">
        <w:rPr>
          <w:bCs/>
        </w:rPr>
        <w:t xml:space="preserve"> de Santa Catarina</w:t>
      </w:r>
      <w:r w:rsidRPr="00AA6DE7">
        <w:rPr>
          <w:bCs/>
        </w:rPr>
        <w:t xml:space="preserve"> (DOM</w:t>
      </w:r>
      <w:r w:rsidR="004A1D5F" w:rsidRPr="00AA6DE7">
        <w:rPr>
          <w:bCs/>
        </w:rPr>
        <w:t>/SC</w:t>
      </w:r>
      <w:r w:rsidRPr="00AA6DE7">
        <w:rPr>
          <w:bCs/>
        </w:rPr>
        <w:t xml:space="preserve">), órgão de publicidade oficial da AGIR. Ainda, </w:t>
      </w:r>
      <w:r w:rsidRPr="00AA6DE7">
        <w:rPr>
          <w:b/>
          <w:bCs/>
        </w:rPr>
        <w:t>DEVERÁ</w:t>
      </w:r>
      <w:r w:rsidRPr="00AA6DE7">
        <w:rPr>
          <w:bCs/>
        </w:rPr>
        <w:t xml:space="preserve"> ser publicada no site da AGIR, qual seja </w:t>
      </w:r>
      <w:hyperlink r:id="rId9" w:history="1">
        <w:r w:rsidRPr="00AA6DE7">
          <w:rPr>
            <w:rStyle w:val="Hyperlink"/>
            <w:bCs/>
          </w:rPr>
          <w:t>www.agir.sc.gov.br</w:t>
        </w:r>
      </w:hyperlink>
      <w:r w:rsidRPr="00AA6DE7">
        <w:rPr>
          <w:bCs/>
        </w:rPr>
        <w:t>.</w:t>
      </w:r>
      <w:r w:rsidRPr="004B5012">
        <w:rPr>
          <w:bCs/>
          <w:sz w:val="23"/>
          <w:szCs w:val="23"/>
        </w:rPr>
        <w:t xml:space="preserve"> </w:t>
      </w:r>
    </w:p>
    <w:p w:rsidR="00464D0C" w:rsidRDefault="00464D0C" w:rsidP="00BE089B">
      <w:pPr>
        <w:suppressAutoHyphens/>
        <w:ind w:firstLine="851"/>
        <w:jc w:val="both"/>
      </w:pPr>
    </w:p>
    <w:p w:rsidR="00BE089B" w:rsidRDefault="00BE089B" w:rsidP="00BE089B">
      <w:pPr>
        <w:suppressAutoHyphens/>
        <w:ind w:firstLine="851"/>
        <w:jc w:val="both"/>
      </w:pPr>
      <w:r w:rsidRPr="000C27A3">
        <w:t xml:space="preserve">Registra-se que, mediante decisão preferida </w:t>
      </w:r>
      <w:r>
        <w:t>por esta</w:t>
      </w:r>
      <w:r w:rsidRPr="000C27A3">
        <w:t xml:space="preserve"> Agência, para a consecução do reajuste em tela cabe ato administrativo do Poder Público</w:t>
      </w:r>
      <w:r w:rsidR="0075686C">
        <w:t>, com posterior remessa da publicação à AGIR,</w:t>
      </w:r>
      <w:r w:rsidRPr="000C27A3">
        <w:t xml:space="preserve"> respeitando o prazo previsto no Artigo 39 da Lei nº. 11.445/07 que estabelece: “</w:t>
      </w:r>
      <w:r w:rsidRPr="000C27A3">
        <w:rPr>
          <w:b/>
          <w:i/>
        </w:rPr>
        <w:t>Art. 39. As tarifas serão fixadas de forma clara e objetiva, devendo os reajustes e as revisões serem tornados públicos com antecedência mínima de (30) dias em relação à sua aplicação</w:t>
      </w:r>
      <w:r w:rsidRPr="000C27A3">
        <w:rPr>
          <w:i/>
        </w:rPr>
        <w:t xml:space="preserve">” </w:t>
      </w:r>
      <w:r w:rsidRPr="000C27A3">
        <w:t>(grifo nosso).</w:t>
      </w:r>
    </w:p>
    <w:p w:rsidR="00464D0C" w:rsidRDefault="00464D0C" w:rsidP="00BE089B">
      <w:pPr>
        <w:suppressAutoHyphens/>
        <w:ind w:firstLine="851"/>
        <w:jc w:val="both"/>
        <w:rPr>
          <w:bCs/>
        </w:rPr>
      </w:pPr>
    </w:p>
    <w:p w:rsidR="00BE089B" w:rsidRPr="000C27A3" w:rsidRDefault="00BE089B" w:rsidP="00BE089B">
      <w:pPr>
        <w:suppressAutoHyphens/>
        <w:ind w:firstLine="851"/>
        <w:jc w:val="both"/>
        <w:rPr>
          <w:bCs/>
        </w:rPr>
      </w:pPr>
      <w:r w:rsidRPr="000C27A3">
        <w:rPr>
          <w:bCs/>
        </w:rPr>
        <w:t xml:space="preserve">Extrai-se cópia desta decisão, bem como dos demais documentos pertinentes e, </w:t>
      </w:r>
      <w:r w:rsidRPr="000C27A3">
        <w:rPr>
          <w:b/>
          <w:bCs/>
        </w:rPr>
        <w:t>ENCAMINHA-SE À PARTE</w:t>
      </w:r>
      <w:r w:rsidRPr="000C27A3">
        <w:rPr>
          <w:bCs/>
        </w:rPr>
        <w:t xml:space="preserve"> para conhecimento. Não havendo manifestação</w:t>
      </w:r>
      <w:r>
        <w:rPr>
          <w:bCs/>
        </w:rPr>
        <w:t xml:space="preserve"> no prazo de 15 (quinze) dias</w:t>
      </w:r>
      <w:r w:rsidRPr="000C27A3">
        <w:rPr>
          <w:bCs/>
        </w:rPr>
        <w:t xml:space="preserve">, </w:t>
      </w:r>
      <w:r w:rsidRPr="000C27A3">
        <w:rPr>
          <w:b/>
          <w:bCs/>
        </w:rPr>
        <w:t>DETERMINA-SE O ARQUIVAMENTO</w:t>
      </w:r>
      <w:r w:rsidRPr="000C27A3">
        <w:rPr>
          <w:bCs/>
        </w:rPr>
        <w:t xml:space="preserve"> deste procedimento administrativo.</w:t>
      </w:r>
    </w:p>
    <w:p w:rsidR="00BE089B" w:rsidRDefault="00BE089B" w:rsidP="002C6E92">
      <w:pPr>
        <w:suppressAutoHyphens/>
        <w:jc w:val="both"/>
        <w:rPr>
          <w:bCs/>
          <w:sz w:val="16"/>
          <w:szCs w:val="16"/>
        </w:rPr>
      </w:pPr>
    </w:p>
    <w:p w:rsidR="00464D0C" w:rsidRPr="004B5012" w:rsidRDefault="00464D0C" w:rsidP="002C6E92">
      <w:pPr>
        <w:suppressAutoHyphens/>
        <w:jc w:val="both"/>
        <w:rPr>
          <w:bCs/>
          <w:sz w:val="16"/>
          <w:szCs w:val="16"/>
        </w:rPr>
      </w:pPr>
    </w:p>
    <w:p w:rsidR="00670754" w:rsidRPr="001A5D73" w:rsidRDefault="00670754" w:rsidP="00670754">
      <w:pPr>
        <w:jc w:val="right"/>
      </w:pPr>
      <w:r w:rsidRPr="001A5D73">
        <w:t xml:space="preserve">Blumenau (SC), em </w:t>
      </w:r>
      <w:r w:rsidR="008D5CAB" w:rsidRPr="001A5D73">
        <w:t>2</w:t>
      </w:r>
      <w:r w:rsidR="0089618B">
        <w:t>7</w:t>
      </w:r>
      <w:r w:rsidR="00005846" w:rsidRPr="001A5D73">
        <w:t xml:space="preserve"> de </w:t>
      </w:r>
      <w:r w:rsidR="008D5CAB" w:rsidRPr="001A5D73">
        <w:t>março</w:t>
      </w:r>
      <w:r w:rsidRPr="001A5D73">
        <w:t xml:space="preserve"> de 201</w:t>
      </w:r>
      <w:r w:rsidR="003B335C" w:rsidRPr="001A5D73">
        <w:t>3</w:t>
      </w:r>
      <w:r w:rsidRPr="001A5D73">
        <w:t>.</w:t>
      </w:r>
    </w:p>
    <w:p w:rsidR="00BE089B" w:rsidRDefault="00BE089B" w:rsidP="00670754">
      <w:pPr>
        <w:rPr>
          <w:sz w:val="16"/>
          <w:szCs w:val="16"/>
        </w:rPr>
      </w:pPr>
    </w:p>
    <w:p w:rsidR="00BE089B" w:rsidRDefault="00BE089B" w:rsidP="00670754">
      <w:pPr>
        <w:rPr>
          <w:sz w:val="16"/>
          <w:szCs w:val="16"/>
        </w:rPr>
      </w:pPr>
    </w:p>
    <w:p w:rsidR="004A1D5F" w:rsidRPr="001A5D73" w:rsidRDefault="004A1D5F" w:rsidP="00670754">
      <w:pPr>
        <w:rPr>
          <w:sz w:val="16"/>
          <w:szCs w:val="16"/>
        </w:rPr>
      </w:pPr>
    </w:p>
    <w:p w:rsidR="00746C8A" w:rsidRDefault="00746C8A" w:rsidP="00670754"/>
    <w:p w:rsidR="00464D0C" w:rsidRDefault="00464D0C" w:rsidP="00670754"/>
    <w:p w:rsidR="00464D0C" w:rsidRDefault="00464D0C" w:rsidP="00670754"/>
    <w:p w:rsidR="00A5009F" w:rsidRPr="001A5D73" w:rsidRDefault="00A5009F" w:rsidP="00670754"/>
    <w:p w:rsidR="00670754" w:rsidRPr="001A5D73" w:rsidRDefault="00BE089B" w:rsidP="00670754">
      <w:pPr>
        <w:jc w:val="center"/>
        <w:rPr>
          <w:b/>
          <w:bCs/>
        </w:rPr>
      </w:pPr>
      <w:r>
        <w:rPr>
          <w:b/>
          <w:bCs/>
        </w:rPr>
        <w:t>HEINRICH LUIZ PASOLD</w:t>
      </w:r>
    </w:p>
    <w:p w:rsidR="00670754" w:rsidRDefault="00BE089B" w:rsidP="00670754">
      <w:pPr>
        <w:jc w:val="center"/>
        <w:rPr>
          <w:bCs/>
        </w:rPr>
      </w:pPr>
      <w:r>
        <w:rPr>
          <w:bCs/>
        </w:rPr>
        <w:t>Diretor Geral da AGIR</w:t>
      </w:r>
    </w:p>
    <w:p w:rsidR="00464D0C" w:rsidRDefault="00464D0C" w:rsidP="00670754">
      <w:pPr>
        <w:jc w:val="center"/>
        <w:rPr>
          <w:bCs/>
        </w:rPr>
      </w:pPr>
    </w:p>
    <w:p w:rsidR="00464D0C" w:rsidRDefault="00464D0C" w:rsidP="00670754">
      <w:pPr>
        <w:jc w:val="center"/>
        <w:rPr>
          <w:bCs/>
        </w:rPr>
      </w:pPr>
    </w:p>
    <w:p w:rsidR="00464D0C" w:rsidRDefault="00464D0C" w:rsidP="00670754">
      <w:pPr>
        <w:jc w:val="center"/>
        <w:rPr>
          <w:bCs/>
        </w:rPr>
      </w:pPr>
    </w:p>
    <w:p w:rsidR="00464D0C" w:rsidRDefault="00464D0C" w:rsidP="00670754">
      <w:pPr>
        <w:jc w:val="center"/>
        <w:rPr>
          <w:bCs/>
        </w:rPr>
      </w:pPr>
    </w:p>
    <w:p w:rsidR="00464D0C" w:rsidRPr="001A5D73" w:rsidRDefault="00464D0C" w:rsidP="00670754">
      <w:pPr>
        <w:jc w:val="center"/>
      </w:pPr>
    </w:p>
    <w:sectPr w:rsidR="00464D0C" w:rsidRPr="001A5D73" w:rsidSect="000A33B2">
      <w:headerReference w:type="default" r:id="rId10"/>
      <w:footerReference w:type="default" r:id="rId11"/>
      <w:pgSz w:w="11907" w:h="16840" w:code="9"/>
      <w:pgMar w:top="1304" w:right="1134" w:bottom="1134" w:left="1588" w:header="720"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5A2" w:rsidRDefault="001735A2">
      <w:pPr>
        <w:spacing w:line="240" w:lineRule="auto"/>
      </w:pPr>
      <w:r>
        <w:separator/>
      </w:r>
    </w:p>
  </w:endnote>
  <w:endnote w:type="continuationSeparator" w:id="0">
    <w:p w:rsidR="001735A2" w:rsidRDefault="001735A2">
      <w:pPr>
        <w:spacing w:line="240" w:lineRule="auto"/>
      </w:pPr>
      <w:r>
        <w:continuationSeparator/>
      </w:r>
    </w:p>
  </w:endnote>
  <w:endnote w:id="1">
    <w:p w:rsidR="001735A2" w:rsidRDefault="001735A2" w:rsidP="00DA4151">
      <w:pPr>
        <w:pStyle w:val="Textodenotadefim"/>
      </w:pPr>
      <w:r>
        <w:rPr>
          <w:rStyle w:val="Refdenotadefim"/>
        </w:rPr>
        <w:endnoteRef/>
      </w:r>
      <w:r>
        <w:t xml:space="preserve"> SCHWIND, Rafael Wallbach – Remuneração do Concessionário – Concessões Comuns e Parecerias Público-Privadas. Prefácio de Maria Sylvia Zanella Di Pietro. Belo Horizonte. Forum.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46616"/>
      <w:docPartObj>
        <w:docPartGallery w:val="Page Numbers (Bottom of Page)"/>
        <w:docPartUnique/>
      </w:docPartObj>
    </w:sdtPr>
    <w:sdtContent>
      <w:p w:rsidR="000711CC" w:rsidRDefault="000711CC">
        <w:pPr>
          <w:pStyle w:val="Rodap"/>
          <w:jc w:val="right"/>
        </w:pPr>
        <w:r>
          <w:fldChar w:fldCharType="begin"/>
        </w:r>
        <w:r>
          <w:instrText>PAGE   \* MERGEFORMAT</w:instrText>
        </w:r>
        <w:r>
          <w:fldChar w:fldCharType="separate"/>
        </w:r>
        <w:r>
          <w:t>2</w:t>
        </w:r>
        <w:r>
          <w:fldChar w:fldCharType="end"/>
        </w:r>
      </w:p>
    </w:sdtContent>
  </w:sdt>
  <w:p w:rsidR="001735A2" w:rsidRPr="009B3EB0" w:rsidRDefault="001735A2" w:rsidP="00F25E25">
    <w:pPr>
      <w:pStyle w:val="Rodap"/>
      <w:pBdr>
        <w:top w:val="single" w:sz="4" w:space="1" w:color="auto"/>
      </w:pBdr>
      <w:spacing w:line="240" w:lineRule="auto"/>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5A2" w:rsidRDefault="001735A2">
      <w:pPr>
        <w:spacing w:line="240" w:lineRule="auto"/>
      </w:pPr>
      <w:r>
        <w:separator/>
      </w:r>
    </w:p>
  </w:footnote>
  <w:footnote w:type="continuationSeparator" w:id="0">
    <w:p w:rsidR="001735A2" w:rsidRDefault="001735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5A2" w:rsidRPr="00FA192C" w:rsidRDefault="001735A2" w:rsidP="00F25E25">
    <w:pPr>
      <w:pBdr>
        <w:top w:val="single" w:sz="4" w:space="1" w:color="auto"/>
        <w:left w:val="single" w:sz="4" w:space="4" w:color="auto"/>
        <w:bottom w:val="single" w:sz="4" w:space="1" w:color="auto"/>
        <w:right w:val="single" w:sz="4" w:space="4" w:color="auto"/>
      </w:pBdr>
      <w:tabs>
        <w:tab w:val="left" w:pos="8208"/>
      </w:tabs>
      <w:autoSpaceDE w:val="0"/>
      <w:autoSpaceDN w:val="0"/>
      <w:adjustRightInd w:val="0"/>
      <w:spacing w:line="240" w:lineRule="auto"/>
      <w:jc w:val="center"/>
      <w:rPr>
        <w:b/>
        <w:bCs/>
        <w:color w:val="FF0000"/>
        <w:sz w:val="18"/>
        <w:szCs w:val="18"/>
      </w:rPr>
    </w:pPr>
    <w:r>
      <w:rPr>
        <w:b/>
        <w:bCs/>
        <w:noProof/>
        <w:color w:val="FF0000"/>
        <w:sz w:val="18"/>
        <w:szCs w:val="18"/>
      </w:rPr>
      <w:drawing>
        <wp:anchor distT="0" distB="0" distL="114300" distR="114300" simplePos="0" relativeHeight="251659264" behindDoc="1" locked="0" layoutInCell="1" allowOverlap="1" wp14:anchorId="3E192511" wp14:editId="65AFE04E">
          <wp:simplePos x="0" y="0"/>
          <wp:positionH relativeFrom="column">
            <wp:posOffset>61595</wp:posOffset>
          </wp:positionH>
          <wp:positionV relativeFrom="paragraph">
            <wp:posOffset>19685</wp:posOffset>
          </wp:positionV>
          <wp:extent cx="895350" cy="810895"/>
          <wp:effectExtent l="0" t="0" r="0" b="8255"/>
          <wp:wrapTight wrapText="right">
            <wp:wrapPolygon edited="0">
              <wp:start x="0" y="0"/>
              <wp:lineTo x="0" y="21312"/>
              <wp:lineTo x="21140" y="21312"/>
              <wp:lineTo x="21140" y="0"/>
              <wp:lineTo x="0" y="0"/>
            </wp:wrapPolygon>
          </wp:wrapTight>
          <wp:docPr id="4" name="Imagem 4" descr="Logo AGIR_versao aprov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AGIR_versao aprova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92C">
      <w:rPr>
        <w:b/>
        <w:bCs/>
        <w:color w:val="FF0000"/>
        <w:sz w:val="18"/>
        <w:szCs w:val="18"/>
      </w:rPr>
      <w:t xml:space="preserve">            </w:t>
    </w:r>
  </w:p>
  <w:p w:rsidR="001735A2" w:rsidRPr="00FA192C" w:rsidRDefault="001735A2" w:rsidP="00F25E25">
    <w:pPr>
      <w:pBdr>
        <w:top w:val="single" w:sz="4" w:space="1" w:color="auto"/>
        <w:left w:val="single" w:sz="4" w:space="4" w:color="auto"/>
        <w:bottom w:val="single" w:sz="4" w:space="1" w:color="auto"/>
        <w:right w:val="single" w:sz="4" w:space="4" w:color="auto"/>
      </w:pBdr>
      <w:tabs>
        <w:tab w:val="left" w:pos="8208"/>
      </w:tabs>
      <w:autoSpaceDE w:val="0"/>
      <w:autoSpaceDN w:val="0"/>
      <w:adjustRightInd w:val="0"/>
      <w:spacing w:line="240" w:lineRule="auto"/>
      <w:jc w:val="center"/>
      <w:rPr>
        <w:b/>
        <w:bCs/>
        <w:sz w:val="26"/>
        <w:szCs w:val="26"/>
      </w:rPr>
    </w:pPr>
    <w:r>
      <w:rPr>
        <w:b/>
        <w:bCs/>
        <w:sz w:val="28"/>
        <w:szCs w:val="28"/>
      </w:rPr>
      <w:t xml:space="preserve">                    </w:t>
    </w:r>
    <w:r w:rsidRPr="00FA192C">
      <w:rPr>
        <w:b/>
        <w:bCs/>
        <w:sz w:val="26"/>
        <w:szCs w:val="26"/>
      </w:rPr>
      <w:t>AGÊNCIA INTERMUNICIPAL DE REGULAÇÃO,</w:t>
    </w:r>
  </w:p>
  <w:p w:rsidR="001735A2" w:rsidRDefault="001735A2" w:rsidP="00F25E25">
    <w:pPr>
      <w:pBdr>
        <w:top w:val="single" w:sz="4" w:space="1" w:color="auto"/>
        <w:left w:val="single" w:sz="4" w:space="4" w:color="auto"/>
        <w:bottom w:val="single" w:sz="4" w:space="1" w:color="auto"/>
        <w:right w:val="single" w:sz="4" w:space="4" w:color="auto"/>
      </w:pBdr>
      <w:tabs>
        <w:tab w:val="left" w:pos="8208"/>
      </w:tabs>
      <w:autoSpaceDE w:val="0"/>
      <w:autoSpaceDN w:val="0"/>
      <w:adjustRightInd w:val="0"/>
      <w:spacing w:line="240" w:lineRule="auto"/>
      <w:jc w:val="center"/>
      <w:rPr>
        <w:b/>
        <w:bCs/>
        <w:sz w:val="26"/>
        <w:szCs w:val="26"/>
      </w:rPr>
    </w:pPr>
    <w:r>
      <w:rPr>
        <w:b/>
        <w:bCs/>
        <w:sz w:val="26"/>
        <w:szCs w:val="26"/>
      </w:rPr>
      <w:t xml:space="preserve">                       </w:t>
    </w:r>
    <w:r w:rsidRPr="00FA192C">
      <w:rPr>
        <w:b/>
        <w:bCs/>
        <w:sz w:val="26"/>
        <w:szCs w:val="26"/>
      </w:rPr>
      <w:t>CONTROLE E FISCALIZAÇÃO DE SERVIÇOS PÚBLICOS</w:t>
    </w:r>
  </w:p>
  <w:p w:rsidR="001735A2" w:rsidRPr="00FA192C" w:rsidRDefault="001735A2" w:rsidP="00F25E25">
    <w:pPr>
      <w:pBdr>
        <w:top w:val="single" w:sz="4" w:space="1" w:color="auto"/>
        <w:left w:val="single" w:sz="4" w:space="4" w:color="auto"/>
        <w:bottom w:val="single" w:sz="4" w:space="1" w:color="auto"/>
        <w:right w:val="single" w:sz="4" w:space="4" w:color="auto"/>
      </w:pBdr>
      <w:tabs>
        <w:tab w:val="left" w:pos="8208"/>
      </w:tabs>
      <w:autoSpaceDE w:val="0"/>
      <w:autoSpaceDN w:val="0"/>
      <w:adjustRightInd w:val="0"/>
      <w:spacing w:line="240" w:lineRule="auto"/>
      <w:jc w:val="center"/>
      <w:rPr>
        <w:b/>
        <w:bCs/>
        <w:sz w:val="26"/>
        <w:szCs w:val="26"/>
      </w:rPr>
    </w:pPr>
    <w:r>
      <w:rPr>
        <w:b/>
        <w:bCs/>
        <w:sz w:val="26"/>
        <w:szCs w:val="26"/>
      </w:rPr>
      <w:t xml:space="preserve">                        </w:t>
    </w:r>
    <w:r w:rsidRPr="00FA192C">
      <w:rPr>
        <w:b/>
        <w:bCs/>
        <w:sz w:val="26"/>
        <w:szCs w:val="26"/>
      </w:rPr>
      <w:t>MUNICIPAIS DO MÉDIO VALE DO ITAJAI – AGIR</w:t>
    </w:r>
  </w:p>
  <w:p w:rsidR="001735A2" w:rsidRPr="00F033CE" w:rsidRDefault="001735A2" w:rsidP="00F25E25">
    <w:pPr>
      <w:pBdr>
        <w:top w:val="single" w:sz="4" w:space="1" w:color="auto"/>
        <w:left w:val="single" w:sz="4" w:space="4" w:color="auto"/>
        <w:bottom w:val="single" w:sz="4" w:space="1" w:color="auto"/>
        <w:right w:val="single" w:sz="4" w:space="4" w:color="auto"/>
      </w:pBdr>
      <w:tabs>
        <w:tab w:val="left" w:pos="977"/>
        <w:tab w:val="left" w:pos="8208"/>
      </w:tabs>
      <w:autoSpaceDE w:val="0"/>
      <w:autoSpaceDN w:val="0"/>
      <w:adjustRightInd w:val="0"/>
      <w:spacing w:line="240" w:lineRule="auto"/>
      <w:rPr>
        <w:b/>
        <w:bCs/>
        <w:sz w:val="16"/>
        <w:szCs w:val="16"/>
      </w:rPr>
    </w:pPr>
    <w:r>
      <w:rPr>
        <w:b/>
        <w:bCs/>
        <w:sz w:val="14"/>
        <w:szCs w:val="14"/>
      </w:rPr>
      <w:tab/>
    </w:r>
  </w:p>
  <w:p w:rsidR="001735A2" w:rsidRPr="005868DF" w:rsidRDefault="001735A2" w:rsidP="00F25E25">
    <w:pPr>
      <w:pStyle w:val="Cabealh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A22E7"/>
    <w:multiLevelType w:val="hybridMultilevel"/>
    <w:tmpl w:val="74F8C38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42E92C8E"/>
    <w:multiLevelType w:val="hybridMultilevel"/>
    <w:tmpl w:val="F3AE117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67822BD7"/>
    <w:multiLevelType w:val="hybridMultilevel"/>
    <w:tmpl w:val="14AA20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681E0B84"/>
    <w:multiLevelType w:val="hybridMultilevel"/>
    <w:tmpl w:val="CDBE8A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7681176"/>
    <w:multiLevelType w:val="hybridMultilevel"/>
    <w:tmpl w:val="3C54E26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10C"/>
    <w:rsid w:val="000050A5"/>
    <w:rsid w:val="00005846"/>
    <w:rsid w:val="0004544E"/>
    <w:rsid w:val="000711CC"/>
    <w:rsid w:val="00080F63"/>
    <w:rsid w:val="00095361"/>
    <w:rsid w:val="000A33B2"/>
    <w:rsid w:val="000D4201"/>
    <w:rsid w:val="000E5E6D"/>
    <w:rsid w:val="000E647F"/>
    <w:rsid w:val="0011053F"/>
    <w:rsid w:val="00131A57"/>
    <w:rsid w:val="00154805"/>
    <w:rsid w:val="00170664"/>
    <w:rsid w:val="00172042"/>
    <w:rsid w:val="001735A2"/>
    <w:rsid w:val="00196248"/>
    <w:rsid w:val="001A0428"/>
    <w:rsid w:val="001A5D73"/>
    <w:rsid w:val="001B1C6C"/>
    <w:rsid w:val="001D08BE"/>
    <w:rsid w:val="002128C8"/>
    <w:rsid w:val="00213124"/>
    <w:rsid w:val="0022661D"/>
    <w:rsid w:val="002326E6"/>
    <w:rsid w:val="002629FD"/>
    <w:rsid w:val="00297F76"/>
    <w:rsid w:val="002C6827"/>
    <w:rsid w:val="002C6E92"/>
    <w:rsid w:val="002D24A1"/>
    <w:rsid w:val="002D309C"/>
    <w:rsid w:val="002D3193"/>
    <w:rsid w:val="002D3CB2"/>
    <w:rsid w:val="002E2336"/>
    <w:rsid w:val="00324612"/>
    <w:rsid w:val="003401A5"/>
    <w:rsid w:val="00362358"/>
    <w:rsid w:val="003819F1"/>
    <w:rsid w:val="0038346C"/>
    <w:rsid w:val="003B335C"/>
    <w:rsid w:val="003B48C4"/>
    <w:rsid w:val="003C5F8A"/>
    <w:rsid w:val="003D4E8D"/>
    <w:rsid w:val="003E3B9F"/>
    <w:rsid w:val="00405EE3"/>
    <w:rsid w:val="00442FD5"/>
    <w:rsid w:val="00443EA4"/>
    <w:rsid w:val="00460EF2"/>
    <w:rsid w:val="00464D0C"/>
    <w:rsid w:val="004A1D5F"/>
    <w:rsid w:val="004B2B27"/>
    <w:rsid w:val="005312A4"/>
    <w:rsid w:val="005351A1"/>
    <w:rsid w:val="00540EF2"/>
    <w:rsid w:val="0055226B"/>
    <w:rsid w:val="00560818"/>
    <w:rsid w:val="0056482D"/>
    <w:rsid w:val="005819E2"/>
    <w:rsid w:val="00586B8A"/>
    <w:rsid w:val="00640475"/>
    <w:rsid w:val="00646772"/>
    <w:rsid w:val="00670754"/>
    <w:rsid w:val="00697CD0"/>
    <w:rsid w:val="006B365E"/>
    <w:rsid w:val="006C2DEA"/>
    <w:rsid w:val="006F5EA0"/>
    <w:rsid w:val="0071454C"/>
    <w:rsid w:val="00726984"/>
    <w:rsid w:val="007307A4"/>
    <w:rsid w:val="00746C8A"/>
    <w:rsid w:val="0075686C"/>
    <w:rsid w:val="0079100B"/>
    <w:rsid w:val="00795231"/>
    <w:rsid w:val="007B56C7"/>
    <w:rsid w:val="007C0C8D"/>
    <w:rsid w:val="00823410"/>
    <w:rsid w:val="008430D8"/>
    <w:rsid w:val="0089618B"/>
    <w:rsid w:val="008A310C"/>
    <w:rsid w:val="008A3B71"/>
    <w:rsid w:val="008C5F39"/>
    <w:rsid w:val="008C680D"/>
    <w:rsid w:val="008D5CAB"/>
    <w:rsid w:val="008D6714"/>
    <w:rsid w:val="008E10B1"/>
    <w:rsid w:val="00941D54"/>
    <w:rsid w:val="009454EF"/>
    <w:rsid w:val="0095328D"/>
    <w:rsid w:val="00970903"/>
    <w:rsid w:val="009D4CFC"/>
    <w:rsid w:val="009F0DB4"/>
    <w:rsid w:val="009F38BD"/>
    <w:rsid w:val="009F468F"/>
    <w:rsid w:val="00A15F38"/>
    <w:rsid w:val="00A5009F"/>
    <w:rsid w:val="00A61FCE"/>
    <w:rsid w:val="00A63391"/>
    <w:rsid w:val="00A87417"/>
    <w:rsid w:val="00A9008A"/>
    <w:rsid w:val="00AA6DE7"/>
    <w:rsid w:val="00AB4826"/>
    <w:rsid w:val="00B449C6"/>
    <w:rsid w:val="00B820F2"/>
    <w:rsid w:val="00BC3AFC"/>
    <w:rsid w:val="00BD5E81"/>
    <w:rsid w:val="00BE089B"/>
    <w:rsid w:val="00BF3DEF"/>
    <w:rsid w:val="00C014A7"/>
    <w:rsid w:val="00C334A8"/>
    <w:rsid w:val="00C369EF"/>
    <w:rsid w:val="00C80B81"/>
    <w:rsid w:val="00C97F6B"/>
    <w:rsid w:val="00CA3250"/>
    <w:rsid w:val="00CB573E"/>
    <w:rsid w:val="00CE398F"/>
    <w:rsid w:val="00CF0272"/>
    <w:rsid w:val="00CF46FF"/>
    <w:rsid w:val="00D46523"/>
    <w:rsid w:val="00D74C1C"/>
    <w:rsid w:val="00D81F92"/>
    <w:rsid w:val="00DA4151"/>
    <w:rsid w:val="00E255B3"/>
    <w:rsid w:val="00E420F7"/>
    <w:rsid w:val="00E441D8"/>
    <w:rsid w:val="00E82202"/>
    <w:rsid w:val="00EA557A"/>
    <w:rsid w:val="00ED3213"/>
    <w:rsid w:val="00F21F79"/>
    <w:rsid w:val="00F25E25"/>
    <w:rsid w:val="00F65605"/>
    <w:rsid w:val="00F666F4"/>
    <w:rsid w:val="00F673BB"/>
    <w:rsid w:val="00F67912"/>
    <w:rsid w:val="00FA3082"/>
    <w:rsid w:val="00FE6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77FE50-4F6E-45B7-9B6D-39ED9C99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10C"/>
    <w:pPr>
      <w:spacing w:after="0" w:line="36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A310C"/>
    <w:rPr>
      <w:color w:val="0000FF"/>
      <w:u w:val="single"/>
    </w:rPr>
  </w:style>
  <w:style w:type="paragraph" w:styleId="Cabealho">
    <w:name w:val="header"/>
    <w:basedOn w:val="Normal"/>
    <w:link w:val="CabealhoChar"/>
    <w:rsid w:val="008A310C"/>
    <w:pPr>
      <w:tabs>
        <w:tab w:val="center" w:pos="4252"/>
        <w:tab w:val="right" w:pos="8504"/>
      </w:tabs>
    </w:pPr>
  </w:style>
  <w:style w:type="character" w:customStyle="1" w:styleId="CabealhoChar">
    <w:name w:val="Cabeçalho Char"/>
    <w:basedOn w:val="Fontepargpadro"/>
    <w:link w:val="Cabealho"/>
    <w:rsid w:val="008A310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A310C"/>
    <w:pPr>
      <w:tabs>
        <w:tab w:val="center" w:pos="4252"/>
        <w:tab w:val="right" w:pos="8504"/>
      </w:tabs>
    </w:pPr>
  </w:style>
  <w:style w:type="character" w:customStyle="1" w:styleId="RodapChar">
    <w:name w:val="Rodapé Char"/>
    <w:basedOn w:val="Fontepargpadro"/>
    <w:link w:val="Rodap"/>
    <w:uiPriority w:val="99"/>
    <w:rsid w:val="008A310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430D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30D8"/>
    <w:rPr>
      <w:rFonts w:ascii="Tahoma" w:eastAsia="Times New Roman" w:hAnsi="Tahoma" w:cs="Tahoma"/>
      <w:sz w:val="16"/>
      <w:szCs w:val="16"/>
      <w:lang w:eastAsia="pt-BR"/>
    </w:rPr>
  </w:style>
  <w:style w:type="table" w:styleId="Tabelacomgrade">
    <w:name w:val="Table Grid"/>
    <w:basedOn w:val="Tabelanormal"/>
    <w:uiPriority w:val="59"/>
    <w:rsid w:val="006B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335C"/>
    <w:pPr>
      <w:spacing w:before="100" w:beforeAutospacing="1" w:after="100" w:afterAutospacing="1" w:line="240" w:lineRule="auto"/>
    </w:pPr>
    <w:rPr>
      <w:color w:val="000000"/>
    </w:rPr>
  </w:style>
  <w:style w:type="table" w:styleId="SombreamentoClaro">
    <w:name w:val="Light Shading"/>
    <w:basedOn w:val="Tabelanormal"/>
    <w:uiPriority w:val="60"/>
    <w:rsid w:val="00AB48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2">
    <w:name w:val="Light Shading Accent 2"/>
    <w:basedOn w:val="Tabelanormal"/>
    <w:uiPriority w:val="60"/>
    <w:rsid w:val="0038346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5">
    <w:name w:val="Light Shading Accent 5"/>
    <w:basedOn w:val="Tabelanormal"/>
    <w:uiPriority w:val="60"/>
    <w:rsid w:val="009F38B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o1">
    <w:name w:val="texto1"/>
    <w:basedOn w:val="Normal"/>
    <w:rsid w:val="005819E2"/>
    <w:pPr>
      <w:spacing w:before="100" w:beforeAutospacing="1" w:after="100" w:afterAutospacing="1" w:line="240" w:lineRule="auto"/>
    </w:pPr>
  </w:style>
  <w:style w:type="paragraph" w:styleId="PargrafodaLista">
    <w:name w:val="List Paragraph"/>
    <w:basedOn w:val="Normal"/>
    <w:uiPriority w:val="34"/>
    <w:qFormat/>
    <w:rsid w:val="008D5CAB"/>
    <w:pPr>
      <w:ind w:left="720"/>
      <w:contextualSpacing/>
    </w:pPr>
  </w:style>
  <w:style w:type="paragraph" w:styleId="Textodenotadefim">
    <w:name w:val="endnote text"/>
    <w:basedOn w:val="Normal"/>
    <w:link w:val="TextodenotadefimChar"/>
    <w:uiPriority w:val="99"/>
    <w:semiHidden/>
    <w:unhideWhenUsed/>
    <w:rsid w:val="00DA4151"/>
    <w:pPr>
      <w:spacing w:line="240" w:lineRule="auto"/>
    </w:pPr>
    <w:rPr>
      <w:rFonts w:eastAsiaTheme="minorHAnsi"/>
      <w:sz w:val="20"/>
      <w:szCs w:val="20"/>
      <w:lang w:eastAsia="en-US"/>
    </w:rPr>
  </w:style>
  <w:style w:type="character" w:customStyle="1" w:styleId="TextodenotadefimChar">
    <w:name w:val="Texto de nota de fim Char"/>
    <w:basedOn w:val="Fontepargpadro"/>
    <w:link w:val="Textodenotadefim"/>
    <w:uiPriority w:val="99"/>
    <w:semiHidden/>
    <w:rsid w:val="00DA4151"/>
    <w:rPr>
      <w:rFonts w:ascii="Times New Roman" w:hAnsi="Times New Roman" w:cs="Times New Roman"/>
      <w:sz w:val="20"/>
      <w:szCs w:val="20"/>
    </w:rPr>
  </w:style>
  <w:style w:type="character" w:styleId="Refdenotadefim">
    <w:name w:val="endnote reference"/>
    <w:basedOn w:val="Fontepargpadro"/>
    <w:uiPriority w:val="99"/>
    <w:semiHidden/>
    <w:unhideWhenUsed/>
    <w:rsid w:val="00DA4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8084">
      <w:bodyDiv w:val="1"/>
      <w:marLeft w:val="0"/>
      <w:marRight w:val="0"/>
      <w:marTop w:val="0"/>
      <w:marBottom w:val="0"/>
      <w:divBdr>
        <w:top w:val="none" w:sz="0" w:space="0" w:color="auto"/>
        <w:left w:val="none" w:sz="0" w:space="0" w:color="auto"/>
        <w:bottom w:val="none" w:sz="0" w:space="0" w:color="auto"/>
        <w:right w:val="none" w:sz="0" w:space="0" w:color="auto"/>
      </w:divBdr>
    </w:div>
    <w:div w:id="108940250">
      <w:bodyDiv w:val="1"/>
      <w:marLeft w:val="0"/>
      <w:marRight w:val="0"/>
      <w:marTop w:val="0"/>
      <w:marBottom w:val="0"/>
      <w:divBdr>
        <w:top w:val="none" w:sz="0" w:space="0" w:color="auto"/>
        <w:left w:val="none" w:sz="0" w:space="0" w:color="auto"/>
        <w:bottom w:val="none" w:sz="0" w:space="0" w:color="auto"/>
        <w:right w:val="none" w:sz="0" w:space="0" w:color="auto"/>
      </w:divBdr>
    </w:div>
    <w:div w:id="234240275">
      <w:bodyDiv w:val="1"/>
      <w:marLeft w:val="0"/>
      <w:marRight w:val="0"/>
      <w:marTop w:val="0"/>
      <w:marBottom w:val="0"/>
      <w:divBdr>
        <w:top w:val="none" w:sz="0" w:space="0" w:color="auto"/>
        <w:left w:val="none" w:sz="0" w:space="0" w:color="auto"/>
        <w:bottom w:val="none" w:sz="0" w:space="0" w:color="auto"/>
        <w:right w:val="none" w:sz="0" w:space="0" w:color="auto"/>
      </w:divBdr>
    </w:div>
    <w:div w:id="278949675">
      <w:bodyDiv w:val="1"/>
      <w:marLeft w:val="0"/>
      <w:marRight w:val="0"/>
      <w:marTop w:val="0"/>
      <w:marBottom w:val="0"/>
      <w:divBdr>
        <w:top w:val="none" w:sz="0" w:space="0" w:color="auto"/>
        <w:left w:val="none" w:sz="0" w:space="0" w:color="auto"/>
        <w:bottom w:val="none" w:sz="0" w:space="0" w:color="auto"/>
        <w:right w:val="none" w:sz="0" w:space="0" w:color="auto"/>
      </w:divBdr>
    </w:div>
    <w:div w:id="311910257">
      <w:bodyDiv w:val="1"/>
      <w:marLeft w:val="0"/>
      <w:marRight w:val="0"/>
      <w:marTop w:val="0"/>
      <w:marBottom w:val="0"/>
      <w:divBdr>
        <w:top w:val="none" w:sz="0" w:space="0" w:color="auto"/>
        <w:left w:val="none" w:sz="0" w:space="0" w:color="auto"/>
        <w:bottom w:val="none" w:sz="0" w:space="0" w:color="auto"/>
        <w:right w:val="none" w:sz="0" w:space="0" w:color="auto"/>
      </w:divBdr>
    </w:div>
    <w:div w:id="394477591">
      <w:bodyDiv w:val="1"/>
      <w:marLeft w:val="0"/>
      <w:marRight w:val="0"/>
      <w:marTop w:val="0"/>
      <w:marBottom w:val="0"/>
      <w:divBdr>
        <w:top w:val="none" w:sz="0" w:space="0" w:color="auto"/>
        <w:left w:val="none" w:sz="0" w:space="0" w:color="auto"/>
        <w:bottom w:val="none" w:sz="0" w:space="0" w:color="auto"/>
        <w:right w:val="none" w:sz="0" w:space="0" w:color="auto"/>
      </w:divBdr>
    </w:div>
    <w:div w:id="451216936">
      <w:bodyDiv w:val="1"/>
      <w:marLeft w:val="0"/>
      <w:marRight w:val="0"/>
      <w:marTop w:val="0"/>
      <w:marBottom w:val="0"/>
      <w:divBdr>
        <w:top w:val="none" w:sz="0" w:space="0" w:color="auto"/>
        <w:left w:val="none" w:sz="0" w:space="0" w:color="auto"/>
        <w:bottom w:val="none" w:sz="0" w:space="0" w:color="auto"/>
        <w:right w:val="none" w:sz="0" w:space="0" w:color="auto"/>
      </w:divBdr>
    </w:div>
    <w:div w:id="645624696">
      <w:bodyDiv w:val="1"/>
      <w:marLeft w:val="0"/>
      <w:marRight w:val="0"/>
      <w:marTop w:val="0"/>
      <w:marBottom w:val="0"/>
      <w:divBdr>
        <w:top w:val="none" w:sz="0" w:space="0" w:color="auto"/>
        <w:left w:val="none" w:sz="0" w:space="0" w:color="auto"/>
        <w:bottom w:val="none" w:sz="0" w:space="0" w:color="auto"/>
        <w:right w:val="none" w:sz="0" w:space="0" w:color="auto"/>
      </w:divBdr>
    </w:div>
    <w:div w:id="772283343">
      <w:bodyDiv w:val="1"/>
      <w:marLeft w:val="0"/>
      <w:marRight w:val="0"/>
      <w:marTop w:val="0"/>
      <w:marBottom w:val="0"/>
      <w:divBdr>
        <w:top w:val="none" w:sz="0" w:space="0" w:color="auto"/>
        <w:left w:val="none" w:sz="0" w:space="0" w:color="auto"/>
        <w:bottom w:val="none" w:sz="0" w:space="0" w:color="auto"/>
        <w:right w:val="none" w:sz="0" w:space="0" w:color="auto"/>
      </w:divBdr>
    </w:div>
    <w:div w:id="965506140">
      <w:bodyDiv w:val="1"/>
      <w:marLeft w:val="0"/>
      <w:marRight w:val="0"/>
      <w:marTop w:val="0"/>
      <w:marBottom w:val="0"/>
      <w:divBdr>
        <w:top w:val="none" w:sz="0" w:space="0" w:color="auto"/>
        <w:left w:val="none" w:sz="0" w:space="0" w:color="auto"/>
        <w:bottom w:val="none" w:sz="0" w:space="0" w:color="auto"/>
        <w:right w:val="none" w:sz="0" w:space="0" w:color="auto"/>
      </w:divBdr>
    </w:div>
    <w:div w:id="1008677040">
      <w:bodyDiv w:val="1"/>
      <w:marLeft w:val="0"/>
      <w:marRight w:val="0"/>
      <w:marTop w:val="0"/>
      <w:marBottom w:val="0"/>
      <w:divBdr>
        <w:top w:val="none" w:sz="0" w:space="0" w:color="auto"/>
        <w:left w:val="none" w:sz="0" w:space="0" w:color="auto"/>
        <w:bottom w:val="none" w:sz="0" w:space="0" w:color="auto"/>
        <w:right w:val="none" w:sz="0" w:space="0" w:color="auto"/>
      </w:divBdr>
    </w:div>
    <w:div w:id="1050689260">
      <w:bodyDiv w:val="1"/>
      <w:marLeft w:val="0"/>
      <w:marRight w:val="0"/>
      <w:marTop w:val="0"/>
      <w:marBottom w:val="0"/>
      <w:divBdr>
        <w:top w:val="none" w:sz="0" w:space="0" w:color="auto"/>
        <w:left w:val="none" w:sz="0" w:space="0" w:color="auto"/>
        <w:bottom w:val="none" w:sz="0" w:space="0" w:color="auto"/>
        <w:right w:val="none" w:sz="0" w:space="0" w:color="auto"/>
      </w:divBdr>
    </w:div>
    <w:div w:id="1053237673">
      <w:bodyDiv w:val="1"/>
      <w:marLeft w:val="0"/>
      <w:marRight w:val="0"/>
      <w:marTop w:val="0"/>
      <w:marBottom w:val="0"/>
      <w:divBdr>
        <w:top w:val="none" w:sz="0" w:space="0" w:color="auto"/>
        <w:left w:val="none" w:sz="0" w:space="0" w:color="auto"/>
        <w:bottom w:val="none" w:sz="0" w:space="0" w:color="auto"/>
        <w:right w:val="none" w:sz="0" w:space="0" w:color="auto"/>
      </w:divBdr>
    </w:div>
    <w:div w:id="1363362300">
      <w:bodyDiv w:val="1"/>
      <w:marLeft w:val="0"/>
      <w:marRight w:val="0"/>
      <w:marTop w:val="0"/>
      <w:marBottom w:val="0"/>
      <w:divBdr>
        <w:top w:val="none" w:sz="0" w:space="0" w:color="auto"/>
        <w:left w:val="none" w:sz="0" w:space="0" w:color="auto"/>
        <w:bottom w:val="none" w:sz="0" w:space="0" w:color="auto"/>
        <w:right w:val="none" w:sz="0" w:space="0" w:color="auto"/>
      </w:divBdr>
    </w:div>
    <w:div w:id="1432969066">
      <w:bodyDiv w:val="1"/>
      <w:marLeft w:val="0"/>
      <w:marRight w:val="0"/>
      <w:marTop w:val="0"/>
      <w:marBottom w:val="0"/>
      <w:divBdr>
        <w:top w:val="none" w:sz="0" w:space="0" w:color="auto"/>
        <w:left w:val="none" w:sz="0" w:space="0" w:color="auto"/>
        <w:bottom w:val="none" w:sz="0" w:space="0" w:color="auto"/>
        <w:right w:val="none" w:sz="0" w:space="0" w:color="auto"/>
      </w:divBdr>
    </w:div>
    <w:div w:id="1648120586">
      <w:bodyDiv w:val="1"/>
      <w:marLeft w:val="0"/>
      <w:marRight w:val="0"/>
      <w:marTop w:val="0"/>
      <w:marBottom w:val="0"/>
      <w:divBdr>
        <w:top w:val="none" w:sz="0" w:space="0" w:color="auto"/>
        <w:left w:val="none" w:sz="0" w:space="0" w:color="auto"/>
        <w:bottom w:val="none" w:sz="0" w:space="0" w:color="auto"/>
        <w:right w:val="none" w:sz="0" w:space="0" w:color="auto"/>
      </w:divBdr>
    </w:div>
    <w:div w:id="1695426464">
      <w:bodyDiv w:val="1"/>
      <w:marLeft w:val="0"/>
      <w:marRight w:val="0"/>
      <w:marTop w:val="0"/>
      <w:marBottom w:val="0"/>
      <w:divBdr>
        <w:top w:val="none" w:sz="0" w:space="0" w:color="auto"/>
        <w:left w:val="none" w:sz="0" w:space="0" w:color="auto"/>
        <w:bottom w:val="none" w:sz="0" w:space="0" w:color="auto"/>
        <w:right w:val="none" w:sz="0" w:space="0" w:color="auto"/>
      </w:divBdr>
    </w:div>
    <w:div w:id="1753165152">
      <w:bodyDiv w:val="1"/>
      <w:marLeft w:val="0"/>
      <w:marRight w:val="0"/>
      <w:marTop w:val="0"/>
      <w:marBottom w:val="0"/>
      <w:divBdr>
        <w:top w:val="none" w:sz="0" w:space="0" w:color="auto"/>
        <w:left w:val="none" w:sz="0" w:space="0" w:color="auto"/>
        <w:bottom w:val="none" w:sz="0" w:space="0" w:color="auto"/>
        <w:right w:val="none" w:sz="0" w:space="0" w:color="auto"/>
      </w:divBdr>
    </w:div>
    <w:div w:id="1803421284">
      <w:bodyDiv w:val="1"/>
      <w:marLeft w:val="0"/>
      <w:marRight w:val="0"/>
      <w:marTop w:val="0"/>
      <w:marBottom w:val="0"/>
      <w:divBdr>
        <w:top w:val="none" w:sz="0" w:space="0" w:color="auto"/>
        <w:left w:val="none" w:sz="0" w:space="0" w:color="auto"/>
        <w:bottom w:val="none" w:sz="0" w:space="0" w:color="auto"/>
        <w:right w:val="none" w:sz="0" w:space="0" w:color="auto"/>
      </w:divBdr>
    </w:div>
    <w:div w:id="1902787427">
      <w:bodyDiv w:val="1"/>
      <w:marLeft w:val="0"/>
      <w:marRight w:val="0"/>
      <w:marTop w:val="0"/>
      <w:marBottom w:val="0"/>
      <w:divBdr>
        <w:top w:val="none" w:sz="0" w:space="0" w:color="auto"/>
        <w:left w:val="none" w:sz="0" w:space="0" w:color="auto"/>
        <w:bottom w:val="none" w:sz="0" w:space="0" w:color="auto"/>
        <w:right w:val="none" w:sz="0" w:space="0" w:color="auto"/>
      </w:divBdr>
    </w:div>
    <w:div w:id="1972440431">
      <w:bodyDiv w:val="1"/>
      <w:marLeft w:val="0"/>
      <w:marRight w:val="0"/>
      <w:marTop w:val="0"/>
      <w:marBottom w:val="0"/>
      <w:divBdr>
        <w:top w:val="none" w:sz="0" w:space="0" w:color="auto"/>
        <w:left w:val="none" w:sz="0" w:space="0" w:color="auto"/>
        <w:bottom w:val="none" w:sz="0" w:space="0" w:color="auto"/>
        <w:right w:val="none" w:sz="0" w:space="0" w:color="auto"/>
      </w:divBdr>
    </w:div>
    <w:div w:id="20445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i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svr-ammvi\Agir\Processos\2013\006%20-%20Revis&#227;o%20tarif&#225;ria%20SAMAE%20Gaspar\An&#225;lise%20Samae%20Gaspar%20reajuste%20tarifa%20para%202013.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36364815881022"/>
          <c:y val="3.4267036064936328E-2"/>
          <c:w val="0.84998034838174941"/>
          <c:h val="0.67177139752769865"/>
        </c:manualLayout>
      </c:layout>
      <c:lineChart>
        <c:grouping val="standard"/>
        <c:varyColors val="0"/>
        <c:ser>
          <c:idx val="0"/>
          <c:order val="0"/>
          <c:tx>
            <c:strRef>
              <c:f>Volumes!$B$5</c:f>
              <c:strCache>
                <c:ptCount val="1"/>
                <c:pt idx="0">
                  <c:v>Volume Tratado (1000 m3/ano)</c:v>
                </c:pt>
              </c:strCache>
            </c:strRef>
          </c:tx>
          <c:marker>
            <c:symbol val="none"/>
          </c:marker>
          <c:val>
            <c:numRef>
              <c:f>Volumes!$C$5:$H$5</c:f>
              <c:numCache>
                <c:formatCode>_(* #,##0.00_);_(* \(#,##0.00\);_(* "-"??_);_(@_)</c:formatCode>
                <c:ptCount val="6"/>
                <c:pt idx="0">
                  <c:v>3567</c:v>
                </c:pt>
                <c:pt idx="1">
                  <c:v>3497</c:v>
                </c:pt>
                <c:pt idx="2">
                  <c:v>3704.25</c:v>
                </c:pt>
                <c:pt idx="3">
                  <c:v>3716.6</c:v>
                </c:pt>
                <c:pt idx="4">
                  <c:v>3757.67</c:v>
                </c:pt>
                <c:pt idx="5">
                  <c:v>4433.32</c:v>
                </c:pt>
              </c:numCache>
            </c:numRef>
          </c:val>
          <c:smooth val="0"/>
          <c:extLst>
            <c:ext xmlns:c16="http://schemas.microsoft.com/office/drawing/2014/chart" uri="{C3380CC4-5D6E-409C-BE32-E72D297353CC}">
              <c16:uniqueId val="{00000000-E47E-4744-ADD7-81C51BC1BAF4}"/>
            </c:ext>
          </c:extLst>
        </c:ser>
        <c:ser>
          <c:idx val="1"/>
          <c:order val="1"/>
          <c:tx>
            <c:strRef>
              <c:f>Volumes!$B$6</c:f>
              <c:strCache>
                <c:ptCount val="1"/>
                <c:pt idx="0">
                  <c:v>Volume Micromedido (1000 m3/ano)</c:v>
                </c:pt>
              </c:strCache>
            </c:strRef>
          </c:tx>
          <c:marker>
            <c:symbol val="none"/>
          </c:marker>
          <c:val>
            <c:numRef>
              <c:f>Volumes!$C$6:$H$6</c:f>
              <c:numCache>
                <c:formatCode>_(* #,##0.00_);_(* \(#,##0.00\);_(* "-"??_);_(@_)</c:formatCode>
                <c:ptCount val="6"/>
                <c:pt idx="0">
                  <c:v>2391</c:v>
                </c:pt>
                <c:pt idx="1">
                  <c:v>2844</c:v>
                </c:pt>
                <c:pt idx="2">
                  <c:v>3177.86</c:v>
                </c:pt>
                <c:pt idx="3">
                  <c:v>3027.9</c:v>
                </c:pt>
                <c:pt idx="4">
                  <c:v>2872.12</c:v>
                </c:pt>
                <c:pt idx="5">
                  <c:v>3074.58</c:v>
                </c:pt>
              </c:numCache>
            </c:numRef>
          </c:val>
          <c:smooth val="0"/>
          <c:extLst>
            <c:ext xmlns:c16="http://schemas.microsoft.com/office/drawing/2014/chart" uri="{C3380CC4-5D6E-409C-BE32-E72D297353CC}">
              <c16:uniqueId val="{00000001-E47E-4744-ADD7-81C51BC1BAF4}"/>
            </c:ext>
          </c:extLst>
        </c:ser>
        <c:ser>
          <c:idx val="2"/>
          <c:order val="2"/>
          <c:tx>
            <c:strRef>
              <c:f>Volumes!$B$7</c:f>
              <c:strCache>
                <c:ptCount val="1"/>
                <c:pt idx="0">
                  <c:v>Volume Faturado (1000 m3/ano)</c:v>
                </c:pt>
              </c:strCache>
            </c:strRef>
          </c:tx>
          <c:marker>
            <c:symbol val="none"/>
          </c:marker>
          <c:val>
            <c:numRef>
              <c:f>Volumes!$C$7:$H$7</c:f>
              <c:numCache>
                <c:formatCode>_(* #,##0.00_);_(* \(#,##0.00\);_(* "-"??_);_(@_)</c:formatCode>
                <c:ptCount val="6"/>
                <c:pt idx="0">
                  <c:v>2734</c:v>
                </c:pt>
                <c:pt idx="1">
                  <c:v>3255</c:v>
                </c:pt>
                <c:pt idx="2">
                  <c:v>3441.07</c:v>
                </c:pt>
                <c:pt idx="3">
                  <c:v>3370.2</c:v>
                </c:pt>
                <c:pt idx="4">
                  <c:v>3145.51</c:v>
                </c:pt>
                <c:pt idx="5">
                  <c:v>3429.98</c:v>
                </c:pt>
              </c:numCache>
            </c:numRef>
          </c:val>
          <c:smooth val="0"/>
          <c:extLst>
            <c:ext xmlns:c16="http://schemas.microsoft.com/office/drawing/2014/chart" uri="{C3380CC4-5D6E-409C-BE32-E72D297353CC}">
              <c16:uniqueId val="{00000002-E47E-4744-ADD7-81C51BC1BAF4}"/>
            </c:ext>
          </c:extLst>
        </c:ser>
        <c:dLbls>
          <c:showLegendKey val="0"/>
          <c:showVal val="0"/>
          <c:showCatName val="0"/>
          <c:showSerName val="0"/>
          <c:showPercent val="0"/>
          <c:showBubbleSize val="0"/>
        </c:dLbls>
        <c:smooth val="0"/>
        <c:axId val="7826432"/>
        <c:axId val="7832320"/>
      </c:lineChart>
      <c:catAx>
        <c:axId val="7826432"/>
        <c:scaling>
          <c:orientation val="minMax"/>
        </c:scaling>
        <c:delete val="0"/>
        <c:axPos val="b"/>
        <c:numFmt formatCode="General" sourceLinked="1"/>
        <c:majorTickMark val="out"/>
        <c:minorTickMark val="none"/>
        <c:tickLblPos val="nextTo"/>
        <c:crossAx val="7832320"/>
        <c:crossesAt val="0"/>
        <c:auto val="1"/>
        <c:lblAlgn val="ctr"/>
        <c:lblOffset val="100"/>
        <c:noMultiLvlLbl val="0"/>
      </c:catAx>
      <c:valAx>
        <c:axId val="7832320"/>
        <c:scaling>
          <c:orientation val="minMax"/>
          <c:min val="2000"/>
        </c:scaling>
        <c:delete val="0"/>
        <c:axPos val="l"/>
        <c:majorGridlines/>
        <c:numFmt formatCode="_(* #,##0.00_);_(* \(#,##0.00\);_(* &quot;-&quot;??_);_(@_)" sourceLinked="1"/>
        <c:majorTickMark val="out"/>
        <c:minorTickMark val="none"/>
        <c:tickLblPos val="nextTo"/>
        <c:crossAx val="7826432"/>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1.0219197982255616E-2"/>
          <c:y val="0.79852496641930226"/>
          <c:w val="0.54835465600755762"/>
          <c:h val="0.19503627548739816"/>
        </c:manualLayout>
      </c:layout>
      <c:overlay val="0"/>
    </c:legend>
    <c:plotVisOnly val="1"/>
    <c:dispBlanksAs val="gap"/>
    <c:showDLblsOverMax val="0"/>
  </c:chart>
  <c:txPr>
    <a:bodyPr/>
    <a:lstStyle/>
    <a:p>
      <a:pPr>
        <a:defRPr b="1" i="0" strike="noStrike" baseline="0"/>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817F-63FA-4A33-87DE-CCA70287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12</Pages>
  <Words>3350</Words>
  <Characters>18091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vanessa.s</dc:creator>
  <cp:lastModifiedBy>Ademir</cp:lastModifiedBy>
  <cp:revision>71</cp:revision>
  <cp:lastPrinted>2018-04-16T13:02:00Z</cp:lastPrinted>
  <dcterms:created xsi:type="dcterms:W3CDTF">2013-03-22T14:40:00Z</dcterms:created>
  <dcterms:modified xsi:type="dcterms:W3CDTF">2018-04-16T13:08:00Z</dcterms:modified>
</cp:coreProperties>
</file>