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D" w:rsidRDefault="000D1C6D" w:rsidP="000D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Procedimento Administrativo nº. 001/2012</w:t>
      </w:r>
    </w:p>
    <w:p w:rsidR="000D1C6D" w:rsidRDefault="000D1C6D" w:rsidP="000D1C6D">
      <w:pPr>
        <w:ind w:firstLine="709"/>
        <w:rPr>
          <w:b/>
          <w:sz w:val="16"/>
          <w:szCs w:val="16"/>
          <w:u w:val="single"/>
        </w:rPr>
      </w:pPr>
    </w:p>
    <w:p w:rsidR="000D1C6D" w:rsidRPr="009A4A6B" w:rsidRDefault="000D1C6D" w:rsidP="000D1C6D">
      <w:pPr>
        <w:jc w:val="both"/>
        <w:rPr>
          <w:b/>
          <w:sz w:val="22"/>
          <w:szCs w:val="22"/>
        </w:rPr>
      </w:pPr>
      <w:r w:rsidRPr="009A4A6B">
        <w:rPr>
          <w:b/>
          <w:sz w:val="22"/>
          <w:szCs w:val="22"/>
          <w:u w:val="single"/>
        </w:rPr>
        <w:t>OBJETO</w:t>
      </w:r>
      <w:r w:rsidRPr="009A4A6B">
        <w:rPr>
          <w:b/>
          <w:sz w:val="22"/>
          <w:szCs w:val="22"/>
        </w:rPr>
        <w:t xml:space="preserve">: APRECIAÇÃO DO RELATÓRIO DE ATIVIDADES COMPREENDENDO O PERÍODO DE </w:t>
      </w:r>
      <w:r w:rsidR="00BD6802">
        <w:rPr>
          <w:b/>
          <w:sz w:val="22"/>
          <w:szCs w:val="22"/>
        </w:rPr>
        <w:t>ABRIL</w:t>
      </w:r>
      <w:r w:rsidRPr="009A4A6B">
        <w:rPr>
          <w:b/>
          <w:sz w:val="22"/>
          <w:szCs w:val="22"/>
        </w:rPr>
        <w:t xml:space="preserve"> DE 2011 A </w:t>
      </w:r>
      <w:r w:rsidR="00BD6802">
        <w:rPr>
          <w:b/>
          <w:sz w:val="22"/>
          <w:szCs w:val="22"/>
        </w:rPr>
        <w:t>ABRIL</w:t>
      </w:r>
      <w:r w:rsidRPr="009A4A6B">
        <w:rPr>
          <w:b/>
          <w:sz w:val="22"/>
          <w:szCs w:val="22"/>
        </w:rPr>
        <w:t xml:space="preserve"> DE 2012 DESENVOLVIDAS PELA CONCESSIONÁRIA FOZ DE BLUMENAU S.A. </w:t>
      </w:r>
    </w:p>
    <w:p w:rsidR="00526D2C" w:rsidRPr="009A4A6B" w:rsidRDefault="00526D2C" w:rsidP="00526D2C">
      <w:pPr>
        <w:jc w:val="both"/>
        <w:rPr>
          <w:b/>
          <w:sz w:val="22"/>
          <w:szCs w:val="22"/>
        </w:rPr>
      </w:pPr>
      <w:r w:rsidRPr="009A4A6B">
        <w:rPr>
          <w:b/>
          <w:sz w:val="22"/>
          <w:szCs w:val="22"/>
          <w:u w:val="single"/>
        </w:rPr>
        <w:t>SOLICITANTE</w:t>
      </w:r>
      <w:r w:rsidRPr="009A4A6B">
        <w:rPr>
          <w:b/>
          <w:sz w:val="22"/>
          <w:szCs w:val="22"/>
        </w:rPr>
        <w:t>: FOZ DE BLUMENAU S.A. (Concessionária)</w:t>
      </w:r>
    </w:p>
    <w:p w:rsidR="00526D2C" w:rsidRPr="009A4A6B" w:rsidRDefault="00526D2C" w:rsidP="00526D2C">
      <w:pPr>
        <w:jc w:val="both"/>
        <w:rPr>
          <w:b/>
          <w:sz w:val="22"/>
          <w:szCs w:val="22"/>
        </w:rPr>
      </w:pPr>
      <w:r w:rsidRPr="009A4A6B">
        <w:rPr>
          <w:b/>
          <w:sz w:val="22"/>
          <w:szCs w:val="22"/>
          <w:u w:val="single"/>
        </w:rPr>
        <w:t>INTERESSADOS</w:t>
      </w:r>
      <w:r w:rsidRPr="009A4A6B">
        <w:rPr>
          <w:b/>
          <w:sz w:val="22"/>
          <w:szCs w:val="22"/>
        </w:rPr>
        <w:t xml:space="preserve">: SERVIÇO AUTÔNOMO DE ÁGUA E ESGOTO – SAMAE (Concedente) E O MUNICÍPIO DE BLUMENAU. </w:t>
      </w:r>
    </w:p>
    <w:p w:rsidR="000D1C6D" w:rsidRDefault="000D1C6D" w:rsidP="000D1C6D">
      <w:pPr>
        <w:jc w:val="both"/>
        <w:rPr>
          <w:color w:val="000000"/>
        </w:rPr>
      </w:pPr>
    </w:p>
    <w:p w:rsidR="000D1C6D" w:rsidRPr="006224EB" w:rsidRDefault="000D1C6D" w:rsidP="000D1C6D">
      <w:pPr>
        <w:suppressAutoHyphens/>
        <w:jc w:val="both"/>
        <w:rPr>
          <w:b/>
          <w:bCs/>
        </w:rPr>
      </w:pPr>
      <w:r w:rsidRPr="006224EB">
        <w:rPr>
          <w:b/>
          <w:bCs/>
          <w:u w:val="single"/>
        </w:rPr>
        <w:t>Relatório</w:t>
      </w:r>
      <w:r w:rsidR="0094483C">
        <w:rPr>
          <w:b/>
          <w:bCs/>
          <w:u w:val="single"/>
        </w:rPr>
        <w:t xml:space="preserve"> Administrativo</w:t>
      </w:r>
      <w:r w:rsidRPr="006224EB">
        <w:rPr>
          <w:b/>
          <w:bCs/>
        </w:rPr>
        <w:t>:</w:t>
      </w:r>
    </w:p>
    <w:p w:rsidR="00C917FF" w:rsidRDefault="00C917FF" w:rsidP="00D56147">
      <w:pPr>
        <w:jc w:val="both"/>
      </w:pPr>
    </w:p>
    <w:p w:rsidR="00D56147" w:rsidRPr="009A4A6B" w:rsidRDefault="00D56147" w:rsidP="00D56147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A Concessionária Foz de Blumenau S.A., por intermédio do documento FB-AGIR </w:t>
      </w:r>
      <w:r w:rsidR="00BD6802">
        <w:rPr>
          <w:sz w:val="23"/>
          <w:szCs w:val="23"/>
        </w:rPr>
        <w:t>017/2012</w:t>
      </w:r>
      <w:r w:rsidRPr="009A4A6B">
        <w:rPr>
          <w:sz w:val="23"/>
          <w:szCs w:val="23"/>
        </w:rPr>
        <w:t xml:space="preserve">, de </w:t>
      </w:r>
      <w:r w:rsidR="00BD6802">
        <w:rPr>
          <w:sz w:val="23"/>
          <w:szCs w:val="23"/>
        </w:rPr>
        <w:t>31 de julho</w:t>
      </w:r>
      <w:r w:rsidRPr="009A4A6B">
        <w:rPr>
          <w:sz w:val="23"/>
          <w:szCs w:val="23"/>
        </w:rPr>
        <w:t xml:space="preserve"> de fevereiro de 2012 e recebido por esta Agência em </w:t>
      </w:r>
      <w:r w:rsidR="00BD6802">
        <w:rPr>
          <w:sz w:val="23"/>
          <w:szCs w:val="23"/>
        </w:rPr>
        <w:t xml:space="preserve">1º. </w:t>
      </w:r>
      <w:proofErr w:type="gramStart"/>
      <w:r w:rsidR="00BD6802">
        <w:rPr>
          <w:sz w:val="23"/>
          <w:szCs w:val="23"/>
        </w:rPr>
        <w:t>de</w:t>
      </w:r>
      <w:proofErr w:type="gramEnd"/>
      <w:r w:rsidR="00BD6802">
        <w:rPr>
          <w:sz w:val="23"/>
          <w:szCs w:val="23"/>
        </w:rPr>
        <w:t xml:space="preserve"> agosto</w:t>
      </w:r>
      <w:r w:rsidRPr="009A4A6B">
        <w:rPr>
          <w:sz w:val="23"/>
          <w:szCs w:val="23"/>
        </w:rPr>
        <w:t xml:space="preserve"> do corrente ano, encaminha relatório de Atividades desenvolvidas pela Concessionária, com as informações atualizadas até </w:t>
      </w:r>
      <w:r w:rsidR="00BD6802">
        <w:rPr>
          <w:sz w:val="23"/>
          <w:szCs w:val="23"/>
        </w:rPr>
        <w:t>30/04</w:t>
      </w:r>
      <w:r w:rsidRPr="009A4A6B">
        <w:rPr>
          <w:sz w:val="23"/>
          <w:szCs w:val="23"/>
        </w:rPr>
        <w:t xml:space="preserve">/2012 compreendendo o período de </w:t>
      </w:r>
      <w:r w:rsidR="00BD6802">
        <w:rPr>
          <w:sz w:val="23"/>
          <w:szCs w:val="23"/>
        </w:rPr>
        <w:t>abril</w:t>
      </w:r>
      <w:r w:rsidRPr="009A4A6B">
        <w:rPr>
          <w:sz w:val="23"/>
          <w:szCs w:val="23"/>
        </w:rPr>
        <w:t xml:space="preserve"> de 2011 à </w:t>
      </w:r>
      <w:r w:rsidR="00BD6802">
        <w:rPr>
          <w:sz w:val="23"/>
          <w:szCs w:val="23"/>
        </w:rPr>
        <w:t>abril</w:t>
      </w:r>
      <w:r w:rsidRPr="009A4A6B">
        <w:rPr>
          <w:sz w:val="23"/>
          <w:szCs w:val="23"/>
        </w:rPr>
        <w:t xml:space="preserve"> de 2012.</w:t>
      </w:r>
    </w:p>
    <w:p w:rsidR="00D56147" w:rsidRPr="009A4A6B" w:rsidRDefault="00D56147" w:rsidP="00D56147">
      <w:pPr>
        <w:jc w:val="both"/>
        <w:rPr>
          <w:sz w:val="23"/>
          <w:szCs w:val="23"/>
        </w:rPr>
      </w:pPr>
    </w:p>
    <w:p w:rsidR="00D56147" w:rsidRPr="009A4A6B" w:rsidRDefault="00D56147" w:rsidP="00D56147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Para tanto, cabe relatar que tal encaminhamento possui embasamento na Cláusula 33.8 </w:t>
      </w:r>
      <w:proofErr w:type="gramStart"/>
      <w:r w:rsidRPr="009A4A6B">
        <w:rPr>
          <w:sz w:val="23"/>
          <w:szCs w:val="23"/>
        </w:rPr>
        <w:t>da Contrato</w:t>
      </w:r>
      <w:proofErr w:type="gramEnd"/>
      <w:r w:rsidRPr="009A4A6B">
        <w:rPr>
          <w:sz w:val="23"/>
          <w:szCs w:val="23"/>
        </w:rPr>
        <w:t xml:space="preserve"> de Concessão para Prestação do Serviço Público de Esgotamento Sanitário do Município de Blumenau, firmado em 26 de fevereiro de 2010, a qual preconiza que: “33.8. A CONCESSIONÁRIA deverá apresentar relatórios técnicos, operacionais e financeiros, trimestrais e anuais, com a finalidade de demonstrar a execução das obras e serviços previstos no MEMORIAL DESCRITIVO”.</w:t>
      </w:r>
    </w:p>
    <w:p w:rsidR="00D56147" w:rsidRPr="009A4A6B" w:rsidRDefault="00D56147" w:rsidP="00D56147">
      <w:pPr>
        <w:jc w:val="both"/>
        <w:rPr>
          <w:sz w:val="23"/>
          <w:szCs w:val="23"/>
        </w:rPr>
      </w:pPr>
    </w:p>
    <w:p w:rsidR="00844DD0" w:rsidRPr="009A4A6B" w:rsidRDefault="00D56147" w:rsidP="00D56147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Assim, mediante apurada análise desta Diretoria </w:t>
      </w:r>
      <w:r w:rsidR="00844DD0" w:rsidRPr="009A4A6B">
        <w:rPr>
          <w:sz w:val="23"/>
          <w:szCs w:val="23"/>
        </w:rPr>
        <w:t>Administrativa, no que tange ao seu Anexo III – Quadro Resumo das Metas de Investimento</w:t>
      </w:r>
      <w:r w:rsidR="00382922" w:rsidRPr="009A4A6B">
        <w:rPr>
          <w:sz w:val="23"/>
          <w:szCs w:val="23"/>
        </w:rPr>
        <w:t xml:space="preserve"> registra-se</w:t>
      </w:r>
      <w:r w:rsidR="00844DD0" w:rsidRPr="009A4A6B">
        <w:rPr>
          <w:sz w:val="23"/>
          <w:szCs w:val="23"/>
        </w:rPr>
        <w:t xml:space="preserve"> que</w:t>
      </w:r>
      <w:r w:rsidR="002B4C22">
        <w:rPr>
          <w:sz w:val="23"/>
          <w:szCs w:val="23"/>
        </w:rPr>
        <w:t xml:space="preserve"> </w:t>
      </w:r>
      <w:r w:rsidR="002B4C22" w:rsidRPr="002B4C22">
        <w:rPr>
          <w:color w:val="FF0000"/>
          <w:sz w:val="23"/>
          <w:szCs w:val="23"/>
        </w:rPr>
        <w:t>(FÁTIMA)</w:t>
      </w:r>
      <w:r w:rsidR="00844DD0" w:rsidRPr="009A4A6B">
        <w:rPr>
          <w:sz w:val="23"/>
          <w:szCs w:val="23"/>
        </w:rPr>
        <w:t>:</w:t>
      </w:r>
    </w:p>
    <w:p w:rsidR="00E313C9" w:rsidRPr="009A4A6B" w:rsidRDefault="00E313C9" w:rsidP="00D56147">
      <w:pPr>
        <w:jc w:val="both"/>
        <w:rPr>
          <w:sz w:val="23"/>
          <w:szCs w:val="23"/>
        </w:rPr>
      </w:pPr>
    </w:p>
    <w:p w:rsidR="00F86EB8" w:rsidRPr="009A4A6B" w:rsidRDefault="00F86EB8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>Os itens 16.1 e 16.2, que tratam do acompanhamento do consumo de água, e da emissão das fatura para pagamento das tarifas, estão sendo depositadas em conta consolidada, através de contrato firmado com CEF, estado atendendo Contrato em tela.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</w:p>
    <w:p w:rsidR="00F86EB8" w:rsidRPr="009A4A6B" w:rsidRDefault="00F86EB8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Com relação ao item 26 do referido Contrato de Concessão, </w:t>
      </w:r>
      <w:r w:rsidR="00382922" w:rsidRPr="009A4A6B">
        <w:rPr>
          <w:sz w:val="23"/>
          <w:szCs w:val="23"/>
        </w:rPr>
        <w:t>registra-se</w:t>
      </w:r>
      <w:r w:rsidRPr="009A4A6B">
        <w:rPr>
          <w:sz w:val="23"/>
          <w:szCs w:val="23"/>
        </w:rPr>
        <w:t xml:space="preserve"> que embora os subitens relacionados neste relatório estejam constando como atendidos, não houve menção ao item 26.2.2 </w:t>
      </w:r>
      <w:r w:rsidRPr="009A4A6B">
        <w:rPr>
          <w:sz w:val="23"/>
          <w:szCs w:val="23"/>
        </w:rPr>
        <w:lastRenderedPageBreak/>
        <w:t>(simetria); item 26.2.13 (item em duplicidade), e ainda aos itens 26.2.14; 26.2.15, 26.3, os quais são itens relevantes à execução do mesmo.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</w:p>
    <w:p w:rsidR="00F86EB8" w:rsidRPr="009A4A6B" w:rsidRDefault="00382922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>Verifica-se</w:t>
      </w:r>
      <w:r w:rsidR="00F86EB8" w:rsidRPr="009A4A6B">
        <w:rPr>
          <w:sz w:val="23"/>
          <w:szCs w:val="23"/>
        </w:rPr>
        <w:t xml:space="preserve"> que </w:t>
      </w:r>
      <w:proofErr w:type="gramStart"/>
      <w:r w:rsidR="00F86EB8" w:rsidRPr="009A4A6B">
        <w:rPr>
          <w:sz w:val="23"/>
          <w:szCs w:val="23"/>
        </w:rPr>
        <w:t>o</w:t>
      </w:r>
      <w:r w:rsidR="009A4A6B" w:rsidRPr="009A4A6B">
        <w:rPr>
          <w:sz w:val="23"/>
          <w:szCs w:val="23"/>
        </w:rPr>
        <w:t>s</w:t>
      </w:r>
      <w:r w:rsidR="00F86EB8" w:rsidRPr="009A4A6B">
        <w:rPr>
          <w:sz w:val="23"/>
          <w:szCs w:val="23"/>
        </w:rPr>
        <w:t xml:space="preserve"> ite</w:t>
      </w:r>
      <w:r w:rsidR="009A4A6B" w:rsidRPr="009A4A6B">
        <w:rPr>
          <w:sz w:val="23"/>
          <w:szCs w:val="23"/>
        </w:rPr>
        <w:t xml:space="preserve">ns </w:t>
      </w:r>
      <w:r w:rsidR="00F86EB8" w:rsidRPr="009A4A6B">
        <w:rPr>
          <w:sz w:val="23"/>
          <w:szCs w:val="23"/>
        </w:rPr>
        <w:t>26.2-27 mencionado no relatório</w:t>
      </w:r>
      <w:proofErr w:type="gramEnd"/>
      <w:r w:rsidR="00F86EB8" w:rsidRPr="009A4A6B">
        <w:rPr>
          <w:sz w:val="23"/>
          <w:szCs w:val="23"/>
        </w:rPr>
        <w:t xml:space="preserve"> corresponde ao item 28, como também, o item 29.2, corresponde ao item 30.2 do respectivo contrato.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</w:p>
    <w:p w:rsidR="00F86EB8" w:rsidRPr="009A4A6B" w:rsidRDefault="00382922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>Contatou-se</w:t>
      </w:r>
      <w:r w:rsidR="00F86EB8" w:rsidRPr="009A4A6B">
        <w:rPr>
          <w:sz w:val="23"/>
          <w:szCs w:val="23"/>
        </w:rPr>
        <w:t xml:space="preserve"> em breve leitura do Contrato em comento, várias inconsistências e incoerência, tais como: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- </w:t>
      </w:r>
      <w:r w:rsidR="009A4A6B" w:rsidRPr="009A4A6B">
        <w:rPr>
          <w:sz w:val="23"/>
          <w:szCs w:val="23"/>
        </w:rPr>
        <w:t>A</w:t>
      </w:r>
      <w:r w:rsidRPr="009A4A6B">
        <w:rPr>
          <w:sz w:val="23"/>
          <w:szCs w:val="23"/>
        </w:rPr>
        <w:t>rtigos e incisos que reportam a outros, não sendo estes os correspondentes a matéria citada;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>- Cláusulas mencionadas que não correspondem ao tema em questão;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- </w:t>
      </w:r>
      <w:r w:rsidR="009A4A6B" w:rsidRPr="009A4A6B">
        <w:rPr>
          <w:sz w:val="23"/>
          <w:szCs w:val="23"/>
        </w:rPr>
        <w:t>I</w:t>
      </w:r>
      <w:r w:rsidRPr="009A4A6B">
        <w:rPr>
          <w:sz w:val="23"/>
          <w:szCs w:val="23"/>
        </w:rPr>
        <w:t>ncisos e alíneas que não existem, mencionados em vários artigos.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</w:p>
    <w:p w:rsidR="001E48C9" w:rsidRDefault="00382922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Sugere-se </w:t>
      </w:r>
      <w:r w:rsidR="00F86EB8" w:rsidRPr="009A4A6B">
        <w:rPr>
          <w:sz w:val="23"/>
          <w:szCs w:val="23"/>
        </w:rPr>
        <w:t>uma revisão do Contrato de Concessão, visando sanar tais incoerências e inconsistências, como também, recomendamos para os próximos relatórios serem observados os itens acima relacionados.</w:t>
      </w:r>
    </w:p>
    <w:p w:rsidR="00F86EB8" w:rsidRPr="009A4A6B" w:rsidRDefault="00F86EB8" w:rsidP="00F86EB8">
      <w:pPr>
        <w:jc w:val="both"/>
        <w:rPr>
          <w:sz w:val="23"/>
          <w:szCs w:val="23"/>
        </w:rPr>
      </w:pPr>
      <w:r w:rsidRPr="009A4A6B">
        <w:rPr>
          <w:sz w:val="23"/>
          <w:szCs w:val="23"/>
        </w:rPr>
        <w:t xml:space="preserve"> </w:t>
      </w:r>
    </w:p>
    <w:p w:rsidR="00F86EB8" w:rsidRPr="001E48C9" w:rsidRDefault="001E48C9" w:rsidP="00F86EB8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(VANESSA)</w:t>
      </w:r>
    </w:p>
    <w:p w:rsidR="00540350" w:rsidRDefault="00540350" w:rsidP="00540350">
      <w:pPr>
        <w:jc w:val="both"/>
        <w:rPr>
          <w:bCs/>
          <w:sz w:val="23"/>
          <w:szCs w:val="23"/>
        </w:rPr>
      </w:pPr>
      <w:r w:rsidRPr="009A4A6B">
        <w:rPr>
          <w:sz w:val="23"/>
          <w:szCs w:val="23"/>
        </w:rPr>
        <w:t>Quanto aos</w:t>
      </w:r>
      <w:r w:rsidR="00D56147" w:rsidRPr="009A4A6B">
        <w:rPr>
          <w:sz w:val="23"/>
          <w:szCs w:val="23"/>
        </w:rPr>
        <w:t xml:space="preserve"> </w:t>
      </w:r>
      <w:r w:rsidR="00844DD0" w:rsidRPr="009A4A6B">
        <w:rPr>
          <w:sz w:val="23"/>
          <w:szCs w:val="23"/>
        </w:rPr>
        <w:t xml:space="preserve">apontamentos sobre o Anexo X – Indicadores Prestação do Serviço, </w:t>
      </w:r>
      <w:r w:rsidRPr="009A4A6B">
        <w:rPr>
          <w:sz w:val="23"/>
          <w:szCs w:val="23"/>
        </w:rPr>
        <w:t>verifica-se que t</w:t>
      </w:r>
      <w:r w:rsidR="00E1218B" w:rsidRPr="009A4A6B">
        <w:rPr>
          <w:bCs/>
          <w:sz w:val="23"/>
          <w:szCs w:val="23"/>
        </w:rPr>
        <w:t xml:space="preserve">odos os indicadores do Anexo I – Especificações de Serviço Adequado </w:t>
      </w:r>
      <w:r w:rsidR="002F479D" w:rsidRPr="009A4A6B">
        <w:rPr>
          <w:bCs/>
          <w:sz w:val="23"/>
          <w:szCs w:val="23"/>
        </w:rPr>
        <w:t>do Primeiro Termo Aditivo ao Contrato de Concessão, firmado em 18 de novembro de 20</w:t>
      </w:r>
      <w:r w:rsidR="002B4C22">
        <w:rPr>
          <w:bCs/>
          <w:sz w:val="23"/>
          <w:szCs w:val="23"/>
        </w:rPr>
        <w:t>10</w:t>
      </w:r>
      <w:r w:rsidR="002F479D" w:rsidRPr="009A4A6B">
        <w:rPr>
          <w:bCs/>
          <w:sz w:val="23"/>
          <w:szCs w:val="23"/>
        </w:rPr>
        <w:t xml:space="preserve">, </w:t>
      </w:r>
      <w:r w:rsidR="00E1218B" w:rsidRPr="009A4A6B">
        <w:rPr>
          <w:bCs/>
          <w:sz w:val="23"/>
          <w:szCs w:val="23"/>
        </w:rPr>
        <w:t>foram demonstrados conforme as metodologias in</w:t>
      </w:r>
      <w:r w:rsidRPr="009A4A6B">
        <w:rPr>
          <w:bCs/>
          <w:sz w:val="23"/>
          <w:szCs w:val="23"/>
        </w:rPr>
        <w:t>dicadas</w:t>
      </w:r>
      <w:r w:rsidR="002F479D" w:rsidRPr="009A4A6B">
        <w:rPr>
          <w:bCs/>
          <w:sz w:val="23"/>
          <w:szCs w:val="23"/>
        </w:rPr>
        <w:t xml:space="preserve"> neste</w:t>
      </w:r>
      <w:r w:rsidRPr="009A4A6B">
        <w:rPr>
          <w:bCs/>
          <w:sz w:val="23"/>
          <w:szCs w:val="23"/>
        </w:rPr>
        <w:t>, onde os</w:t>
      </w:r>
      <w:r w:rsidR="00E1218B" w:rsidRPr="009A4A6B">
        <w:rPr>
          <w:bCs/>
          <w:sz w:val="23"/>
          <w:szCs w:val="23"/>
        </w:rPr>
        <w:t xml:space="preserve"> valor</w:t>
      </w:r>
      <w:r w:rsidRPr="009A4A6B">
        <w:rPr>
          <w:bCs/>
          <w:sz w:val="23"/>
          <w:szCs w:val="23"/>
        </w:rPr>
        <w:t>es</w:t>
      </w:r>
      <w:r w:rsidR="00E1218B" w:rsidRPr="009A4A6B">
        <w:rPr>
          <w:bCs/>
          <w:sz w:val="23"/>
          <w:szCs w:val="23"/>
        </w:rPr>
        <w:t xml:space="preserve"> do ISPESA – Serviço Público de Esgotamento </w:t>
      </w:r>
      <w:proofErr w:type="gramStart"/>
      <w:r w:rsidR="00E1218B" w:rsidRPr="009A4A6B">
        <w:rPr>
          <w:bCs/>
          <w:sz w:val="23"/>
          <w:szCs w:val="23"/>
        </w:rPr>
        <w:t>Sanitário Adequado alcançado</w:t>
      </w:r>
      <w:r w:rsidRPr="009A4A6B">
        <w:rPr>
          <w:bCs/>
          <w:sz w:val="23"/>
          <w:szCs w:val="23"/>
        </w:rPr>
        <w:t>s</w:t>
      </w:r>
      <w:proofErr w:type="gramEnd"/>
      <w:r w:rsidRPr="009A4A6B">
        <w:rPr>
          <w:bCs/>
          <w:sz w:val="23"/>
          <w:szCs w:val="23"/>
        </w:rPr>
        <w:t xml:space="preserve"> para os meses do Relatório em questão </w:t>
      </w:r>
      <w:r w:rsidR="002F479D" w:rsidRPr="009A4A6B">
        <w:rPr>
          <w:bCs/>
          <w:sz w:val="23"/>
          <w:szCs w:val="23"/>
        </w:rPr>
        <w:t>apresentaram</w:t>
      </w:r>
      <w:r w:rsidRPr="009A4A6B">
        <w:rPr>
          <w:bCs/>
          <w:sz w:val="23"/>
          <w:szCs w:val="23"/>
        </w:rPr>
        <w:t xml:space="preserve"> níveis satisfatórios e ótimos.</w:t>
      </w:r>
    </w:p>
    <w:p w:rsidR="00154FD9" w:rsidRDefault="00154FD9" w:rsidP="00540350">
      <w:pPr>
        <w:jc w:val="both"/>
        <w:rPr>
          <w:bCs/>
          <w:sz w:val="23"/>
          <w:szCs w:val="23"/>
        </w:rPr>
      </w:pPr>
    </w:p>
    <w:p w:rsidR="00540350" w:rsidRDefault="00540350" w:rsidP="00540350">
      <w:pPr>
        <w:jc w:val="both"/>
        <w:rPr>
          <w:bCs/>
          <w:sz w:val="23"/>
          <w:szCs w:val="23"/>
        </w:rPr>
      </w:pPr>
      <w:r w:rsidRPr="009A4A6B">
        <w:rPr>
          <w:bCs/>
          <w:sz w:val="23"/>
          <w:szCs w:val="23"/>
        </w:rPr>
        <w:t>Registra-se que tais níveis são aceitáveis para execução contratual, porém, é de interesse e responsabilidade da Concessionária buscar sempre a melhoria de seus serviços e processos, buscando nesse sentido e de forma contínua, a condução dos índices satisfatórios para níveis ótimos e a manutenção dos níveis ótimos no estágio em que se encontram.</w:t>
      </w:r>
    </w:p>
    <w:p w:rsidR="00154FD9" w:rsidRDefault="00154FD9" w:rsidP="00540350">
      <w:pPr>
        <w:jc w:val="both"/>
        <w:rPr>
          <w:bCs/>
          <w:sz w:val="23"/>
          <w:szCs w:val="23"/>
        </w:rPr>
      </w:pPr>
    </w:p>
    <w:p w:rsidR="00154FD9" w:rsidRPr="009A4A6B" w:rsidRDefault="00154FD9" w:rsidP="00154FD9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Cabe evidenciar que a média dos períodos avaliados, de abril/2011 </w:t>
      </w:r>
      <w:proofErr w:type="gramStart"/>
      <w:r>
        <w:rPr>
          <w:bCs/>
          <w:sz w:val="23"/>
          <w:szCs w:val="23"/>
        </w:rPr>
        <w:t>à</w:t>
      </w:r>
      <w:proofErr w:type="gramEnd"/>
      <w:r>
        <w:rPr>
          <w:bCs/>
          <w:sz w:val="23"/>
          <w:szCs w:val="23"/>
        </w:rPr>
        <w:t xml:space="preserve"> abril/2011 alcançou uma média de 9,00, apresentando os serviços prestados como de ótima qualidade e demonstrando o comprometimento da Concessionária com as práticas de responsabilidade comercial e operacional do sistema requisitas no Contrato de Concessão.</w:t>
      </w:r>
    </w:p>
    <w:p w:rsidR="00540350" w:rsidRPr="009A4A6B" w:rsidRDefault="00540350" w:rsidP="00540350">
      <w:pPr>
        <w:jc w:val="both"/>
        <w:rPr>
          <w:bCs/>
          <w:sz w:val="23"/>
          <w:szCs w:val="23"/>
        </w:rPr>
      </w:pPr>
    </w:p>
    <w:p w:rsidR="00E1218B" w:rsidRPr="009A4A6B" w:rsidRDefault="00540350" w:rsidP="00540350">
      <w:pPr>
        <w:jc w:val="both"/>
        <w:rPr>
          <w:bCs/>
          <w:sz w:val="23"/>
          <w:szCs w:val="23"/>
        </w:rPr>
      </w:pPr>
      <w:r w:rsidRPr="009A4A6B">
        <w:rPr>
          <w:bCs/>
          <w:sz w:val="23"/>
          <w:szCs w:val="23"/>
        </w:rPr>
        <w:t xml:space="preserve">Bem como, para aceite final do </w:t>
      </w:r>
      <w:r w:rsidR="002F479D" w:rsidRPr="009A4A6B">
        <w:rPr>
          <w:bCs/>
          <w:sz w:val="23"/>
          <w:szCs w:val="23"/>
        </w:rPr>
        <w:t>Anexo</w:t>
      </w:r>
      <w:r w:rsidRPr="009A4A6B">
        <w:rPr>
          <w:bCs/>
          <w:sz w:val="23"/>
          <w:szCs w:val="23"/>
        </w:rPr>
        <w:t xml:space="preserve"> apresentado se faz necessário </w:t>
      </w:r>
      <w:proofErr w:type="gramStart"/>
      <w:r w:rsidRPr="009A4A6B">
        <w:rPr>
          <w:bCs/>
          <w:sz w:val="23"/>
          <w:szCs w:val="23"/>
        </w:rPr>
        <w:t>a</w:t>
      </w:r>
      <w:proofErr w:type="gramEnd"/>
      <w:r w:rsidRPr="009A4A6B">
        <w:rPr>
          <w:bCs/>
          <w:sz w:val="23"/>
          <w:szCs w:val="23"/>
        </w:rPr>
        <w:t xml:space="preserve"> apresentação por parte da Concessionária de todos os índices de </w:t>
      </w:r>
      <w:r w:rsidR="008B4023">
        <w:rPr>
          <w:bCs/>
          <w:sz w:val="23"/>
          <w:szCs w:val="23"/>
        </w:rPr>
        <w:t>abril/2011</w:t>
      </w:r>
      <w:r w:rsidRPr="009A4A6B">
        <w:rPr>
          <w:bCs/>
          <w:sz w:val="23"/>
          <w:szCs w:val="23"/>
        </w:rPr>
        <w:t xml:space="preserve"> referente ao IACS – </w:t>
      </w:r>
      <w:r w:rsidR="000E6F6D" w:rsidRPr="009A4A6B">
        <w:rPr>
          <w:bCs/>
          <w:sz w:val="23"/>
          <w:szCs w:val="23"/>
        </w:rPr>
        <w:t>Í</w:t>
      </w:r>
      <w:r w:rsidRPr="009A4A6B">
        <w:rPr>
          <w:bCs/>
          <w:sz w:val="23"/>
          <w:szCs w:val="23"/>
        </w:rPr>
        <w:t>ndice de Adequação da Comercialização dos Serviços</w:t>
      </w:r>
      <w:r w:rsidR="000E6F6D" w:rsidRPr="009A4A6B">
        <w:rPr>
          <w:bCs/>
          <w:sz w:val="23"/>
          <w:szCs w:val="23"/>
        </w:rPr>
        <w:t>. Isto,</w:t>
      </w:r>
      <w:r w:rsidRPr="009A4A6B">
        <w:rPr>
          <w:bCs/>
          <w:sz w:val="23"/>
          <w:szCs w:val="23"/>
        </w:rPr>
        <w:t xml:space="preserve"> em razão de sua falta nos relatórios, porém, </w:t>
      </w:r>
      <w:r w:rsidR="000E6F6D" w:rsidRPr="009A4A6B">
        <w:rPr>
          <w:bCs/>
          <w:sz w:val="23"/>
          <w:szCs w:val="23"/>
        </w:rPr>
        <w:t>considerado sem a devida demonstração, na apresentação dos valores finais do IACS e do ISPESA.</w:t>
      </w:r>
      <w:r w:rsidR="00E1218B" w:rsidRPr="009A4A6B">
        <w:rPr>
          <w:bCs/>
          <w:sz w:val="23"/>
          <w:szCs w:val="23"/>
        </w:rPr>
        <w:t xml:space="preserve"> </w:t>
      </w:r>
    </w:p>
    <w:p w:rsidR="000E6F6D" w:rsidRPr="009A4A6B" w:rsidRDefault="000E6F6D" w:rsidP="00540350">
      <w:pPr>
        <w:jc w:val="both"/>
        <w:rPr>
          <w:bCs/>
          <w:sz w:val="23"/>
          <w:szCs w:val="23"/>
        </w:rPr>
      </w:pPr>
    </w:p>
    <w:p w:rsidR="00EA554F" w:rsidRDefault="00EA554F" w:rsidP="00540350">
      <w:pPr>
        <w:jc w:val="both"/>
        <w:rPr>
          <w:bCs/>
          <w:sz w:val="23"/>
          <w:szCs w:val="23"/>
        </w:rPr>
      </w:pPr>
      <w:r w:rsidRPr="009A4A6B">
        <w:rPr>
          <w:bCs/>
          <w:sz w:val="23"/>
          <w:szCs w:val="23"/>
        </w:rPr>
        <w:t>Indicam-se</w:t>
      </w:r>
      <w:r w:rsidR="000239BC" w:rsidRPr="009A4A6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ainda as seguintes correções:</w:t>
      </w:r>
    </w:p>
    <w:p w:rsidR="000239BC" w:rsidRPr="009A4A6B" w:rsidRDefault="00EA554F" w:rsidP="0054035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C</w:t>
      </w:r>
      <w:r w:rsidR="000239BC" w:rsidRPr="009A4A6B">
        <w:rPr>
          <w:bCs/>
          <w:sz w:val="23"/>
          <w:szCs w:val="23"/>
        </w:rPr>
        <w:t xml:space="preserve">orreção na faixa do </w:t>
      </w:r>
      <w:r w:rsidR="002F479D" w:rsidRPr="009A4A6B">
        <w:rPr>
          <w:bCs/>
          <w:sz w:val="23"/>
          <w:szCs w:val="23"/>
        </w:rPr>
        <w:t>Í</w:t>
      </w:r>
      <w:r w:rsidR="000239BC" w:rsidRPr="009A4A6B">
        <w:rPr>
          <w:bCs/>
          <w:sz w:val="23"/>
          <w:szCs w:val="23"/>
        </w:rPr>
        <w:t xml:space="preserve">ndice </w:t>
      </w:r>
      <w:r>
        <w:rPr>
          <w:bCs/>
          <w:sz w:val="23"/>
          <w:szCs w:val="23"/>
        </w:rPr>
        <w:t>4</w:t>
      </w:r>
      <w:r w:rsidR="000239BC" w:rsidRPr="009A4A6B">
        <w:rPr>
          <w:bCs/>
          <w:sz w:val="23"/>
          <w:szCs w:val="23"/>
        </w:rPr>
        <w:t xml:space="preserve"> – A</w:t>
      </w:r>
      <w:r>
        <w:rPr>
          <w:bCs/>
          <w:sz w:val="23"/>
          <w:szCs w:val="23"/>
        </w:rPr>
        <w:t>cessibilidade Comercial</w:t>
      </w:r>
      <w:r w:rsidR="000239BC" w:rsidRPr="009A4A6B">
        <w:rPr>
          <w:bCs/>
          <w:sz w:val="23"/>
          <w:szCs w:val="23"/>
        </w:rPr>
        <w:t>, onde a</w:t>
      </w:r>
      <w:r>
        <w:rPr>
          <w:bCs/>
          <w:sz w:val="23"/>
          <w:szCs w:val="23"/>
        </w:rPr>
        <w:t>s</w:t>
      </w:r>
      <w:r w:rsidR="000239BC" w:rsidRPr="009A4A6B">
        <w:rPr>
          <w:bCs/>
          <w:sz w:val="23"/>
          <w:szCs w:val="23"/>
        </w:rPr>
        <w:t xml:space="preserve"> faixa</w:t>
      </w:r>
      <w:r>
        <w:rPr>
          <w:bCs/>
          <w:sz w:val="23"/>
          <w:szCs w:val="23"/>
        </w:rPr>
        <w:t>s</w:t>
      </w:r>
      <w:r w:rsidR="000239BC" w:rsidRPr="009A4A6B">
        <w:rPr>
          <w:bCs/>
          <w:sz w:val="23"/>
          <w:szCs w:val="23"/>
        </w:rPr>
        <w:t xml:space="preserve"> atribuída</w:t>
      </w:r>
      <w:r>
        <w:rPr>
          <w:bCs/>
          <w:sz w:val="23"/>
          <w:szCs w:val="23"/>
        </w:rPr>
        <w:t>s</w:t>
      </w:r>
      <w:r w:rsidR="000239BC" w:rsidRPr="009A4A6B">
        <w:rPr>
          <w:bCs/>
          <w:sz w:val="23"/>
          <w:szCs w:val="23"/>
        </w:rPr>
        <w:t xml:space="preserve"> a 1,0</w:t>
      </w:r>
      <w:r>
        <w:rPr>
          <w:bCs/>
          <w:sz w:val="23"/>
          <w:szCs w:val="23"/>
        </w:rPr>
        <w:t xml:space="preserve"> – 0,5 – </w:t>
      </w:r>
      <w:proofErr w:type="gramStart"/>
      <w:r>
        <w:rPr>
          <w:bCs/>
          <w:sz w:val="23"/>
          <w:szCs w:val="23"/>
        </w:rPr>
        <w:t>0</w:t>
      </w:r>
      <w:proofErr w:type="gramEnd"/>
      <w:r>
        <w:rPr>
          <w:bCs/>
          <w:sz w:val="23"/>
          <w:szCs w:val="23"/>
        </w:rPr>
        <w:t xml:space="preserve"> </w:t>
      </w:r>
      <w:r w:rsidR="000239BC" w:rsidRPr="009A4A6B">
        <w:rPr>
          <w:bCs/>
          <w:sz w:val="23"/>
          <w:szCs w:val="23"/>
        </w:rPr>
        <w:t>dever</w:t>
      </w:r>
      <w:r>
        <w:rPr>
          <w:bCs/>
          <w:sz w:val="23"/>
          <w:szCs w:val="23"/>
        </w:rPr>
        <w:t xml:space="preserve">ão ser respectivamente Maior ou igual a 0,5 – Maior ou igual a 0,2 e menor que 0,5 – Menor que 0,2, </w:t>
      </w:r>
      <w:r w:rsidR="000239BC" w:rsidRPr="009A4A6B">
        <w:rPr>
          <w:bCs/>
          <w:sz w:val="23"/>
          <w:szCs w:val="23"/>
        </w:rPr>
        <w:t>corrigindo-se a digitação dos posteriores relatórios a serem apresentados.</w:t>
      </w:r>
    </w:p>
    <w:p w:rsidR="00BC5DB8" w:rsidRPr="009A4A6B" w:rsidRDefault="00BC5DB8" w:rsidP="00BC5DB8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C</w:t>
      </w:r>
      <w:r w:rsidRPr="009A4A6B">
        <w:rPr>
          <w:bCs/>
          <w:sz w:val="23"/>
          <w:szCs w:val="23"/>
        </w:rPr>
        <w:t xml:space="preserve">orreção na faixa do Índice </w:t>
      </w:r>
      <w:r w:rsidR="006D29F8">
        <w:rPr>
          <w:bCs/>
          <w:sz w:val="23"/>
          <w:szCs w:val="23"/>
        </w:rPr>
        <w:t>8</w:t>
      </w:r>
      <w:r w:rsidRPr="009A4A6B">
        <w:rPr>
          <w:bCs/>
          <w:sz w:val="23"/>
          <w:szCs w:val="23"/>
        </w:rPr>
        <w:t xml:space="preserve"> – </w:t>
      </w:r>
      <w:r w:rsidR="006D29F8">
        <w:rPr>
          <w:bCs/>
          <w:sz w:val="23"/>
          <w:szCs w:val="23"/>
        </w:rPr>
        <w:t>Atendimento às Novas Ligações</w:t>
      </w:r>
      <w:r w:rsidRPr="009A4A6B">
        <w:rPr>
          <w:bCs/>
          <w:sz w:val="23"/>
          <w:szCs w:val="23"/>
        </w:rPr>
        <w:t>, onde a</w:t>
      </w:r>
      <w:r>
        <w:rPr>
          <w:bCs/>
          <w:sz w:val="23"/>
          <w:szCs w:val="23"/>
        </w:rPr>
        <w:t>s</w:t>
      </w:r>
      <w:r w:rsidRPr="009A4A6B">
        <w:rPr>
          <w:bCs/>
          <w:sz w:val="23"/>
          <w:szCs w:val="23"/>
        </w:rPr>
        <w:t xml:space="preserve"> faixa</w:t>
      </w:r>
      <w:r>
        <w:rPr>
          <w:bCs/>
          <w:sz w:val="23"/>
          <w:szCs w:val="23"/>
        </w:rPr>
        <w:t>s</w:t>
      </w:r>
      <w:r w:rsidRPr="009A4A6B">
        <w:rPr>
          <w:bCs/>
          <w:sz w:val="23"/>
          <w:szCs w:val="23"/>
        </w:rPr>
        <w:t xml:space="preserve"> atribuída</w:t>
      </w:r>
      <w:r>
        <w:rPr>
          <w:bCs/>
          <w:sz w:val="23"/>
          <w:szCs w:val="23"/>
        </w:rPr>
        <w:t>s</w:t>
      </w:r>
      <w:r w:rsidRPr="009A4A6B">
        <w:rPr>
          <w:bCs/>
          <w:sz w:val="23"/>
          <w:szCs w:val="23"/>
        </w:rPr>
        <w:t xml:space="preserve"> a 1,0</w:t>
      </w:r>
      <w:r>
        <w:rPr>
          <w:bCs/>
          <w:sz w:val="23"/>
          <w:szCs w:val="23"/>
        </w:rPr>
        <w:t xml:space="preserve"> – 0,5 – </w:t>
      </w:r>
      <w:proofErr w:type="gramStart"/>
      <w:r>
        <w:rPr>
          <w:bCs/>
          <w:sz w:val="23"/>
          <w:szCs w:val="23"/>
        </w:rPr>
        <w:t>0</w:t>
      </w:r>
      <w:proofErr w:type="gramEnd"/>
      <w:r>
        <w:rPr>
          <w:bCs/>
          <w:sz w:val="23"/>
          <w:szCs w:val="23"/>
        </w:rPr>
        <w:t xml:space="preserve"> </w:t>
      </w:r>
      <w:r w:rsidRPr="009A4A6B">
        <w:rPr>
          <w:bCs/>
          <w:sz w:val="23"/>
          <w:szCs w:val="23"/>
        </w:rPr>
        <w:t>dever</w:t>
      </w:r>
      <w:r>
        <w:rPr>
          <w:bCs/>
          <w:sz w:val="23"/>
          <w:szCs w:val="23"/>
        </w:rPr>
        <w:t xml:space="preserve">ão ser respectivamente </w:t>
      </w:r>
      <w:r w:rsidR="006D29F8">
        <w:rPr>
          <w:bCs/>
          <w:sz w:val="23"/>
          <w:szCs w:val="23"/>
        </w:rPr>
        <w:t>Menor ou igual a 10,0</w:t>
      </w:r>
      <w:r>
        <w:rPr>
          <w:bCs/>
          <w:sz w:val="23"/>
          <w:szCs w:val="23"/>
        </w:rPr>
        <w:t xml:space="preserve"> – Maior </w:t>
      </w:r>
      <w:r w:rsidR="006D29F8">
        <w:rPr>
          <w:bCs/>
          <w:sz w:val="23"/>
          <w:szCs w:val="23"/>
        </w:rPr>
        <w:t>que 10 e menor ou igual a 25</w:t>
      </w:r>
      <w:r>
        <w:rPr>
          <w:bCs/>
          <w:sz w:val="23"/>
          <w:szCs w:val="23"/>
        </w:rPr>
        <w:t xml:space="preserve"> – </w:t>
      </w:r>
      <w:r w:rsidR="006D29F8">
        <w:rPr>
          <w:bCs/>
          <w:sz w:val="23"/>
          <w:szCs w:val="23"/>
        </w:rPr>
        <w:t>Maior que 25</w:t>
      </w:r>
      <w:r>
        <w:rPr>
          <w:bCs/>
          <w:sz w:val="23"/>
          <w:szCs w:val="23"/>
        </w:rPr>
        <w:t xml:space="preserve">, </w:t>
      </w:r>
      <w:r w:rsidRPr="009A4A6B">
        <w:rPr>
          <w:bCs/>
          <w:sz w:val="23"/>
          <w:szCs w:val="23"/>
        </w:rPr>
        <w:t>corrigindo-se a digitação dos posteriores relatórios a serem apresentados.</w:t>
      </w:r>
    </w:p>
    <w:p w:rsidR="00DB2580" w:rsidRPr="009A4A6B" w:rsidRDefault="00DB2580" w:rsidP="00540350">
      <w:pPr>
        <w:jc w:val="both"/>
        <w:rPr>
          <w:bCs/>
          <w:sz w:val="23"/>
          <w:szCs w:val="23"/>
        </w:rPr>
      </w:pPr>
    </w:p>
    <w:p w:rsidR="00537AAE" w:rsidRPr="009A4A6B" w:rsidRDefault="00537AAE" w:rsidP="00540350">
      <w:pPr>
        <w:jc w:val="both"/>
        <w:rPr>
          <w:bCs/>
          <w:sz w:val="23"/>
          <w:szCs w:val="23"/>
        </w:rPr>
      </w:pPr>
      <w:r w:rsidRPr="009A4A6B">
        <w:rPr>
          <w:bCs/>
          <w:sz w:val="23"/>
          <w:szCs w:val="23"/>
        </w:rPr>
        <w:t xml:space="preserve">Ainda, cabe trazer ao presente relatório o disposto no Contrato de Concessão, onde em sua Cláusula 33.9., traz que “o conteúdo e a forma de apresentação dos relatórios previstos no </w:t>
      </w:r>
      <w:r w:rsidR="002F479D" w:rsidRPr="009A4A6B">
        <w:rPr>
          <w:bCs/>
          <w:sz w:val="23"/>
          <w:szCs w:val="23"/>
        </w:rPr>
        <w:t>Item</w:t>
      </w:r>
      <w:r w:rsidRPr="009A4A6B">
        <w:rPr>
          <w:bCs/>
          <w:sz w:val="23"/>
          <w:szCs w:val="23"/>
        </w:rPr>
        <w:t xml:space="preserve"> 33.6 anterior serão estabelecidos em ato administrativo a ser exarado pela A ENTIDADE REGULADORA E FISCALIZADORA</w:t>
      </w:r>
      <w:r w:rsidR="002F479D" w:rsidRPr="009A4A6B">
        <w:rPr>
          <w:bCs/>
          <w:sz w:val="23"/>
          <w:szCs w:val="23"/>
        </w:rPr>
        <w:t>”</w:t>
      </w:r>
      <w:r w:rsidRPr="009A4A6B">
        <w:rPr>
          <w:bCs/>
          <w:sz w:val="23"/>
          <w:szCs w:val="23"/>
        </w:rPr>
        <w:t>.</w:t>
      </w:r>
    </w:p>
    <w:p w:rsidR="000239BC" w:rsidRPr="009A4A6B" w:rsidRDefault="000239BC" w:rsidP="00540350">
      <w:pPr>
        <w:jc w:val="both"/>
        <w:rPr>
          <w:bCs/>
          <w:sz w:val="23"/>
          <w:szCs w:val="23"/>
        </w:rPr>
      </w:pPr>
      <w:r w:rsidRPr="009A4A6B">
        <w:rPr>
          <w:bCs/>
          <w:sz w:val="23"/>
          <w:szCs w:val="23"/>
        </w:rPr>
        <w:t xml:space="preserve"> </w:t>
      </w:r>
    </w:p>
    <w:p w:rsidR="00537AAE" w:rsidRPr="009A4A6B" w:rsidRDefault="00537AAE" w:rsidP="00540350">
      <w:pPr>
        <w:jc w:val="both"/>
        <w:rPr>
          <w:bCs/>
          <w:sz w:val="23"/>
          <w:szCs w:val="23"/>
        </w:rPr>
      </w:pPr>
      <w:r w:rsidRPr="009A4A6B">
        <w:rPr>
          <w:bCs/>
          <w:sz w:val="23"/>
          <w:szCs w:val="23"/>
        </w:rPr>
        <w:t xml:space="preserve">Nesse sentido, verifica-se a aceitabilidade </w:t>
      </w:r>
      <w:proofErr w:type="gramStart"/>
      <w:r w:rsidRPr="009A4A6B">
        <w:rPr>
          <w:bCs/>
          <w:sz w:val="23"/>
          <w:szCs w:val="23"/>
        </w:rPr>
        <w:t xml:space="preserve">do </w:t>
      </w:r>
      <w:r w:rsidR="009677C0">
        <w:rPr>
          <w:bCs/>
          <w:sz w:val="23"/>
          <w:szCs w:val="23"/>
        </w:rPr>
        <w:t>Segunda</w:t>
      </w:r>
      <w:proofErr w:type="gramEnd"/>
      <w:r w:rsidR="009677C0">
        <w:rPr>
          <w:bCs/>
          <w:sz w:val="23"/>
          <w:szCs w:val="23"/>
        </w:rPr>
        <w:t xml:space="preserve"> Relatório Anual</w:t>
      </w:r>
      <w:r w:rsidRPr="009A4A6B">
        <w:rPr>
          <w:bCs/>
          <w:sz w:val="23"/>
          <w:szCs w:val="23"/>
        </w:rPr>
        <w:t xml:space="preserve"> da Concessão emitido pela Concessionária, o qual atende aos critérios de avaliação desta Agência Reguladora Igualmente, como forma de ampliar o acompanhamento financeiro, solicita-se que nos próximos relatórios</w:t>
      </w:r>
      <w:r w:rsidR="009677C0">
        <w:rPr>
          <w:bCs/>
          <w:sz w:val="23"/>
          <w:szCs w:val="23"/>
        </w:rPr>
        <w:t xml:space="preserve"> anuais</w:t>
      </w:r>
      <w:r w:rsidRPr="009A4A6B">
        <w:rPr>
          <w:bCs/>
          <w:sz w:val="23"/>
          <w:szCs w:val="23"/>
        </w:rPr>
        <w:t xml:space="preserve"> sejam integrados o fluxo de caixa, custos operacionais, lucro e, detalhamento do cumprimento de prazos e obrigações de investimentos contratuais dos períodos a serem relatados.</w:t>
      </w:r>
    </w:p>
    <w:p w:rsidR="000D1C6D" w:rsidRPr="009A4A6B" w:rsidRDefault="000D1C6D" w:rsidP="000D1C6D">
      <w:pPr>
        <w:rPr>
          <w:sz w:val="23"/>
          <w:szCs w:val="23"/>
        </w:rPr>
      </w:pPr>
    </w:p>
    <w:p w:rsidR="000D1C6D" w:rsidRPr="009A4A6B" w:rsidRDefault="000D1C6D" w:rsidP="000D1C6D">
      <w:pPr>
        <w:jc w:val="right"/>
        <w:rPr>
          <w:sz w:val="23"/>
          <w:szCs w:val="23"/>
        </w:rPr>
      </w:pPr>
      <w:r w:rsidRPr="009A4A6B">
        <w:rPr>
          <w:sz w:val="23"/>
          <w:szCs w:val="23"/>
        </w:rPr>
        <w:t xml:space="preserve">Blumenau (SC), </w:t>
      </w:r>
      <w:r w:rsidR="00537AAE" w:rsidRPr="009A4A6B">
        <w:rPr>
          <w:sz w:val="23"/>
          <w:szCs w:val="23"/>
        </w:rPr>
        <w:t xml:space="preserve">em </w:t>
      </w:r>
      <w:r w:rsidR="009677C0">
        <w:rPr>
          <w:sz w:val="23"/>
          <w:szCs w:val="23"/>
        </w:rPr>
        <w:t>24 de setembro</w:t>
      </w:r>
      <w:bookmarkStart w:id="0" w:name="_GoBack"/>
      <w:bookmarkEnd w:id="0"/>
      <w:r w:rsidR="00537AAE" w:rsidRPr="009A4A6B">
        <w:rPr>
          <w:sz w:val="23"/>
          <w:szCs w:val="23"/>
        </w:rPr>
        <w:t xml:space="preserve"> </w:t>
      </w:r>
      <w:proofErr w:type="spellStart"/>
      <w:r w:rsidR="00537AAE" w:rsidRPr="009A4A6B">
        <w:rPr>
          <w:sz w:val="23"/>
          <w:szCs w:val="23"/>
        </w:rPr>
        <w:t>de</w:t>
      </w:r>
      <w:proofErr w:type="spellEnd"/>
      <w:r w:rsidR="00537AAE" w:rsidRPr="009A4A6B">
        <w:rPr>
          <w:sz w:val="23"/>
          <w:szCs w:val="23"/>
        </w:rPr>
        <w:t xml:space="preserve"> 2012.</w:t>
      </w:r>
    </w:p>
    <w:p w:rsidR="000D1C6D" w:rsidRPr="009A4A6B" w:rsidRDefault="000D1C6D" w:rsidP="000D1C6D">
      <w:pPr>
        <w:rPr>
          <w:sz w:val="23"/>
          <w:szCs w:val="23"/>
        </w:rPr>
      </w:pPr>
    </w:p>
    <w:p w:rsidR="00E313C9" w:rsidRPr="009A4A6B" w:rsidRDefault="00E313C9" w:rsidP="000D1C6D">
      <w:pPr>
        <w:rPr>
          <w:sz w:val="23"/>
          <w:szCs w:val="23"/>
        </w:rPr>
      </w:pPr>
    </w:p>
    <w:p w:rsidR="000D1C6D" w:rsidRPr="009A4A6B" w:rsidRDefault="000D1C6D" w:rsidP="000D1C6D">
      <w:pPr>
        <w:rPr>
          <w:sz w:val="23"/>
          <w:szCs w:val="23"/>
        </w:rPr>
      </w:pPr>
    </w:p>
    <w:p w:rsidR="000D1C6D" w:rsidRPr="009A4A6B" w:rsidRDefault="000D1C6D" w:rsidP="000D1C6D">
      <w:pPr>
        <w:jc w:val="center"/>
        <w:rPr>
          <w:b/>
          <w:bCs/>
          <w:sz w:val="23"/>
          <w:szCs w:val="23"/>
        </w:rPr>
      </w:pPr>
      <w:r w:rsidRPr="009A4A6B">
        <w:rPr>
          <w:b/>
          <w:bCs/>
          <w:sz w:val="23"/>
          <w:szCs w:val="23"/>
        </w:rPr>
        <w:t>VANESSA FERNANDA SCHMITT</w:t>
      </w:r>
    </w:p>
    <w:p w:rsidR="000D1C6D" w:rsidRPr="009A4A6B" w:rsidRDefault="000D1C6D" w:rsidP="000D1C6D">
      <w:pPr>
        <w:jc w:val="center"/>
        <w:rPr>
          <w:sz w:val="23"/>
          <w:szCs w:val="23"/>
        </w:rPr>
      </w:pPr>
      <w:r w:rsidRPr="009A4A6B">
        <w:rPr>
          <w:bCs/>
          <w:sz w:val="23"/>
          <w:szCs w:val="23"/>
        </w:rPr>
        <w:t>Diretora Administrativa</w:t>
      </w:r>
      <w:r w:rsidRPr="009A4A6B">
        <w:rPr>
          <w:sz w:val="23"/>
          <w:szCs w:val="23"/>
        </w:rPr>
        <w:t xml:space="preserve"> </w:t>
      </w:r>
      <w:proofErr w:type="gramStart"/>
      <w:r w:rsidRPr="009A4A6B">
        <w:rPr>
          <w:sz w:val="23"/>
          <w:szCs w:val="23"/>
        </w:rPr>
        <w:t>da AGIR</w:t>
      </w:r>
      <w:proofErr w:type="gramEnd"/>
    </w:p>
    <w:p w:rsidR="00795231" w:rsidRPr="009A4A6B" w:rsidRDefault="000D1C6D" w:rsidP="009A4A6B">
      <w:pPr>
        <w:jc w:val="center"/>
        <w:rPr>
          <w:sz w:val="23"/>
          <w:szCs w:val="23"/>
        </w:rPr>
      </w:pPr>
      <w:r w:rsidRPr="009A4A6B">
        <w:rPr>
          <w:sz w:val="23"/>
          <w:szCs w:val="23"/>
        </w:rPr>
        <w:t>(Diretora Geral Interina – Decreto nº. 003/2011</w:t>
      </w:r>
      <w:proofErr w:type="gramStart"/>
      <w:r w:rsidRPr="009A4A6B">
        <w:rPr>
          <w:sz w:val="23"/>
          <w:szCs w:val="23"/>
        </w:rPr>
        <w:t>)</w:t>
      </w:r>
      <w:proofErr w:type="gramEnd"/>
    </w:p>
    <w:sectPr w:rsidR="00795231" w:rsidRPr="009A4A6B" w:rsidSect="00D56147">
      <w:headerReference w:type="default" r:id="rId9"/>
      <w:footerReference w:type="default" r:id="rId10"/>
      <w:pgSz w:w="11907" w:h="16840" w:code="9"/>
      <w:pgMar w:top="1417" w:right="1134" w:bottom="1134" w:left="1588" w:header="72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80" w:rsidRDefault="00DB2580">
      <w:pPr>
        <w:spacing w:line="240" w:lineRule="auto"/>
      </w:pPr>
      <w:r>
        <w:separator/>
      </w:r>
    </w:p>
  </w:endnote>
  <w:endnote w:type="continuationSeparator" w:id="0">
    <w:p w:rsidR="00DB2580" w:rsidRDefault="00DB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80" w:rsidRPr="00DE2D4F" w:rsidRDefault="00DB2580" w:rsidP="00E313C9">
    <w:pPr>
      <w:pStyle w:val="Rodap"/>
      <w:pBdr>
        <w:top w:val="single" w:sz="4" w:space="1" w:color="auto"/>
      </w:pBdr>
      <w:spacing w:line="240" w:lineRule="auto"/>
      <w:jc w:val="center"/>
      <w:rPr>
        <w:color w:val="000000"/>
        <w:sz w:val="20"/>
        <w:szCs w:val="20"/>
      </w:rPr>
    </w:pPr>
    <w:r w:rsidRPr="00DE2D4F">
      <w:rPr>
        <w:color w:val="000000"/>
        <w:sz w:val="20"/>
        <w:szCs w:val="20"/>
      </w:rPr>
      <w:t>Rua</w:t>
    </w:r>
    <w:r>
      <w:rPr>
        <w:color w:val="000000"/>
        <w:sz w:val="20"/>
        <w:szCs w:val="20"/>
      </w:rPr>
      <w:t>:</w:t>
    </w:r>
    <w:r w:rsidRPr="00DE2D4F">
      <w:rPr>
        <w:color w:val="000000"/>
        <w:sz w:val="20"/>
        <w:szCs w:val="20"/>
      </w:rPr>
      <w:t xml:space="preserve"> Alberto Stein, nº</w:t>
    </w:r>
    <w:r>
      <w:rPr>
        <w:color w:val="000000"/>
        <w:sz w:val="20"/>
        <w:szCs w:val="20"/>
      </w:rPr>
      <w:t>.</w:t>
    </w:r>
    <w:r w:rsidRPr="00DE2D4F">
      <w:rPr>
        <w:color w:val="000000"/>
        <w:sz w:val="20"/>
        <w:szCs w:val="20"/>
      </w:rPr>
      <w:t xml:space="preserve"> 466</w:t>
    </w:r>
    <w:r>
      <w:rPr>
        <w:color w:val="000000"/>
        <w:sz w:val="20"/>
        <w:szCs w:val="20"/>
      </w:rPr>
      <w:t xml:space="preserve"> - </w:t>
    </w:r>
    <w:r w:rsidRPr="00DE2D4F">
      <w:rPr>
        <w:color w:val="000000"/>
        <w:sz w:val="20"/>
        <w:szCs w:val="20"/>
      </w:rPr>
      <w:t>Bairro</w:t>
    </w:r>
    <w:r>
      <w:rPr>
        <w:color w:val="000000"/>
        <w:sz w:val="20"/>
        <w:szCs w:val="20"/>
      </w:rPr>
      <w:t>:</w:t>
    </w:r>
    <w:r w:rsidRPr="00DE2D4F">
      <w:rPr>
        <w:color w:val="000000"/>
        <w:sz w:val="20"/>
        <w:szCs w:val="20"/>
      </w:rPr>
      <w:t xml:space="preserve"> Velha, Blumenau</w:t>
    </w:r>
    <w:r>
      <w:rPr>
        <w:color w:val="000000"/>
        <w:sz w:val="20"/>
        <w:szCs w:val="20"/>
      </w:rPr>
      <w:t xml:space="preserve"> / </w:t>
    </w:r>
    <w:r w:rsidRPr="00DE2D4F">
      <w:rPr>
        <w:color w:val="000000"/>
        <w:sz w:val="20"/>
        <w:szCs w:val="20"/>
      </w:rPr>
      <w:t>Santa Catarina.</w:t>
    </w:r>
  </w:p>
  <w:p w:rsidR="00DB2580" w:rsidRDefault="00DB2580" w:rsidP="00E313C9">
    <w:pPr>
      <w:pStyle w:val="Rodap"/>
      <w:pBdr>
        <w:top w:val="single" w:sz="4" w:space="1" w:color="auto"/>
      </w:pBdr>
      <w:spacing w:line="240" w:lineRule="auto"/>
      <w:jc w:val="center"/>
      <w:rPr>
        <w:color w:val="000000"/>
        <w:sz w:val="20"/>
        <w:szCs w:val="20"/>
      </w:rPr>
    </w:pPr>
    <w:r w:rsidRPr="00DE2D4F">
      <w:rPr>
        <w:color w:val="000000"/>
        <w:sz w:val="20"/>
        <w:szCs w:val="20"/>
      </w:rPr>
      <w:t>CEP</w:t>
    </w:r>
    <w:r>
      <w:rPr>
        <w:color w:val="000000"/>
        <w:sz w:val="20"/>
        <w:szCs w:val="20"/>
      </w:rPr>
      <w:t>:</w:t>
    </w:r>
    <w:r w:rsidRPr="00DE2D4F">
      <w:rPr>
        <w:color w:val="000000"/>
        <w:sz w:val="20"/>
        <w:szCs w:val="20"/>
      </w:rPr>
      <w:t xml:space="preserve"> 89</w:t>
    </w:r>
    <w:r>
      <w:rPr>
        <w:color w:val="000000"/>
        <w:sz w:val="20"/>
        <w:szCs w:val="20"/>
      </w:rPr>
      <w:t>.</w:t>
    </w:r>
    <w:r w:rsidRPr="00DE2D4F">
      <w:rPr>
        <w:color w:val="000000"/>
        <w:sz w:val="20"/>
        <w:szCs w:val="20"/>
      </w:rPr>
      <w:t>036-200</w:t>
    </w:r>
    <w:r>
      <w:rPr>
        <w:color w:val="000000"/>
        <w:sz w:val="20"/>
        <w:szCs w:val="20"/>
      </w:rPr>
      <w:t xml:space="preserve"> - Fone (47) 3331-5827 - </w:t>
    </w:r>
    <w:r w:rsidRPr="00DE2D4F">
      <w:rPr>
        <w:color w:val="000000"/>
        <w:sz w:val="20"/>
        <w:szCs w:val="20"/>
      </w:rPr>
      <w:t>CNPJ 11.762.843/0001-41</w:t>
    </w:r>
  </w:p>
  <w:p w:rsidR="00DB2580" w:rsidRPr="009B3EB0" w:rsidRDefault="00DB2580" w:rsidP="00E313C9">
    <w:pPr>
      <w:pStyle w:val="Rodap"/>
      <w:pBdr>
        <w:top w:val="single" w:sz="4" w:space="1" w:color="auto"/>
      </w:pBdr>
      <w:spacing w:line="240" w:lineRule="auto"/>
      <w:jc w:val="center"/>
      <w:rPr>
        <w:color w:val="000000"/>
        <w:sz w:val="20"/>
        <w:szCs w:val="20"/>
      </w:rPr>
    </w:pPr>
    <w:hyperlink r:id="rId1" w:history="1">
      <w:r w:rsidRPr="00C709D9">
        <w:rPr>
          <w:rStyle w:val="Hyperlink"/>
          <w:sz w:val="20"/>
          <w:szCs w:val="20"/>
        </w:rPr>
        <w:t>www.agir.sc.gov.br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80" w:rsidRDefault="00DB2580">
      <w:pPr>
        <w:spacing w:line="240" w:lineRule="auto"/>
      </w:pPr>
      <w:r>
        <w:separator/>
      </w:r>
    </w:p>
  </w:footnote>
  <w:footnote w:type="continuationSeparator" w:id="0">
    <w:p w:rsidR="00DB2580" w:rsidRDefault="00DB2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80" w:rsidRPr="00FA192C" w:rsidRDefault="00DB2580" w:rsidP="00D561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8"/>
      </w:tabs>
      <w:autoSpaceDE w:val="0"/>
      <w:autoSpaceDN w:val="0"/>
      <w:adjustRightInd w:val="0"/>
      <w:spacing w:line="240" w:lineRule="auto"/>
      <w:jc w:val="center"/>
      <w:rPr>
        <w:b/>
        <w:bCs/>
        <w:color w:val="FF0000"/>
        <w:sz w:val="18"/>
        <w:szCs w:val="18"/>
      </w:rPr>
    </w:pPr>
    <w:r>
      <w:rPr>
        <w:b/>
        <w:bCs/>
        <w:noProof/>
        <w:color w:val="FF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19685</wp:posOffset>
          </wp:positionV>
          <wp:extent cx="895350" cy="810895"/>
          <wp:effectExtent l="0" t="0" r="0" b="8255"/>
          <wp:wrapTight wrapText="right">
            <wp:wrapPolygon edited="0">
              <wp:start x="0" y="0"/>
              <wp:lineTo x="0" y="21312"/>
              <wp:lineTo x="21140" y="21312"/>
              <wp:lineTo x="21140" y="0"/>
              <wp:lineTo x="0" y="0"/>
            </wp:wrapPolygon>
          </wp:wrapTight>
          <wp:docPr id="1" name="Imagem 1" descr="Logo AGIR_versao apro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AGIR_versao aprov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92C">
      <w:rPr>
        <w:b/>
        <w:bCs/>
        <w:color w:val="FF0000"/>
        <w:sz w:val="18"/>
        <w:szCs w:val="18"/>
      </w:rPr>
      <w:t xml:space="preserve">            </w:t>
    </w:r>
  </w:p>
  <w:p w:rsidR="00DB2580" w:rsidRPr="00FA192C" w:rsidRDefault="00DB2580" w:rsidP="00D561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8"/>
      </w:tabs>
      <w:autoSpaceDE w:val="0"/>
      <w:autoSpaceDN w:val="0"/>
      <w:adjustRightInd w:val="0"/>
      <w:spacing w:line="240" w:lineRule="auto"/>
      <w:jc w:val="center"/>
      <w:rPr>
        <w:b/>
        <w:bCs/>
        <w:sz w:val="26"/>
        <w:szCs w:val="26"/>
      </w:rPr>
    </w:pPr>
    <w:r>
      <w:rPr>
        <w:b/>
        <w:bCs/>
        <w:sz w:val="28"/>
        <w:szCs w:val="28"/>
      </w:rPr>
      <w:t xml:space="preserve">                    </w:t>
    </w:r>
    <w:r w:rsidRPr="00FA192C">
      <w:rPr>
        <w:b/>
        <w:bCs/>
        <w:sz w:val="26"/>
        <w:szCs w:val="26"/>
      </w:rPr>
      <w:t>AGÊNCIA INTERMUNICIPAL DE REGULAÇÃO,</w:t>
    </w:r>
  </w:p>
  <w:p w:rsidR="00DB2580" w:rsidRDefault="00DB2580" w:rsidP="00D561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8"/>
      </w:tabs>
      <w:autoSpaceDE w:val="0"/>
      <w:autoSpaceDN w:val="0"/>
      <w:adjustRightInd w:val="0"/>
      <w:spacing w:line="240" w:lineRule="auto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                      </w:t>
    </w:r>
    <w:r w:rsidRPr="00FA192C">
      <w:rPr>
        <w:b/>
        <w:bCs/>
        <w:sz w:val="26"/>
        <w:szCs w:val="26"/>
      </w:rPr>
      <w:t>CONTROLE E FISCALIZAÇÃO DE SERVIÇOS PÚBLICOS</w:t>
    </w:r>
  </w:p>
  <w:p w:rsidR="00DB2580" w:rsidRPr="00FA192C" w:rsidRDefault="00DB2580" w:rsidP="00D561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8"/>
      </w:tabs>
      <w:autoSpaceDE w:val="0"/>
      <w:autoSpaceDN w:val="0"/>
      <w:adjustRightInd w:val="0"/>
      <w:spacing w:line="240" w:lineRule="auto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                       </w:t>
    </w:r>
    <w:r w:rsidRPr="00FA192C">
      <w:rPr>
        <w:b/>
        <w:bCs/>
        <w:sz w:val="26"/>
        <w:szCs w:val="26"/>
      </w:rPr>
      <w:t xml:space="preserve">MUNICIPAIS DO MÉDIO VALE DO ITAJAI – </w:t>
    </w:r>
    <w:proofErr w:type="gramStart"/>
    <w:r w:rsidRPr="00FA192C">
      <w:rPr>
        <w:b/>
        <w:bCs/>
        <w:sz w:val="26"/>
        <w:szCs w:val="26"/>
      </w:rPr>
      <w:t>AGIR</w:t>
    </w:r>
    <w:proofErr w:type="gramEnd"/>
  </w:p>
  <w:p w:rsidR="00DB2580" w:rsidRPr="00F033CE" w:rsidRDefault="00DB2580" w:rsidP="00D561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7"/>
        <w:tab w:val="left" w:pos="8208"/>
      </w:tabs>
      <w:autoSpaceDE w:val="0"/>
      <w:autoSpaceDN w:val="0"/>
      <w:adjustRightInd w:val="0"/>
      <w:spacing w:line="240" w:lineRule="auto"/>
      <w:rPr>
        <w:b/>
        <w:bCs/>
        <w:sz w:val="16"/>
        <w:szCs w:val="16"/>
      </w:rPr>
    </w:pPr>
    <w:r>
      <w:rPr>
        <w:b/>
        <w:bCs/>
        <w:sz w:val="14"/>
        <w:szCs w:val="14"/>
      </w:rPr>
      <w:tab/>
    </w:r>
  </w:p>
  <w:p w:rsidR="00DB2580" w:rsidRPr="00690836" w:rsidRDefault="00DB2580" w:rsidP="00D561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4D39"/>
    <w:multiLevelType w:val="hybridMultilevel"/>
    <w:tmpl w:val="F6DE45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A5376"/>
    <w:multiLevelType w:val="hybridMultilevel"/>
    <w:tmpl w:val="434C2B4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D"/>
    <w:rsid w:val="000239BC"/>
    <w:rsid w:val="000D1C6D"/>
    <w:rsid w:val="000E6F6D"/>
    <w:rsid w:val="00154FD9"/>
    <w:rsid w:val="001E48C9"/>
    <w:rsid w:val="002B4C22"/>
    <w:rsid w:val="002F479D"/>
    <w:rsid w:val="00382922"/>
    <w:rsid w:val="00492B7A"/>
    <w:rsid w:val="00526D2C"/>
    <w:rsid w:val="00537AAE"/>
    <w:rsid w:val="00540350"/>
    <w:rsid w:val="0060385C"/>
    <w:rsid w:val="006224EB"/>
    <w:rsid w:val="006D29F8"/>
    <w:rsid w:val="00795231"/>
    <w:rsid w:val="00844DD0"/>
    <w:rsid w:val="008B4023"/>
    <w:rsid w:val="0094483C"/>
    <w:rsid w:val="009677C0"/>
    <w:rsid w:val="009A4A6B"/>
    <w:rsid w:val="00BC5DB8"/>
    <w:rsid w:val="00BD6802"/>
    <w:rsid w:val="00C460D6"/>
    <w:rsid w:val="00C917FF"/>
    <w:rsid w:val="00CF26CF"/>
    <w:rsid w:val="00D56147"/>
    <w:rsid w:val="00D87C25"/>
    <w:rsid w:val="00DB2580"/>
    <w:rsid w:val="00E1218B"/>
    <w:rsid w:val="00E313C9"/>
    <w:rsid w:val="00E81146"/>
    <w:rsid w:val="00EA554F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6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D1C6D"/>
    <w:rPr>
      <w:color w:val="0000FF"/>
      <w:u w:val="single"/>
    </w:rPr>
  </w:style>
  <w:style w:type="paragraph" w:styleId="Cabealho">
    <w:name w:val="header"/>
    <w:basedOn w:val="Normal"/>
    <w:link w:val="CabealhoChar"/>
    <w:rsid w:val="000D1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1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D1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6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D1C6D"/>
    <w:rPr>
      <w:color w:val="0000FF"/>
      <w:u w:val="single"/>
    </w:rPr>
  </w:style>
  <w:style w:type="paragraph" w:styleId="Cabealho">
    <w:name w:val="header"/>
    <w:basedOn w:val="Normal"/>
    <w:link w:val="CabealhoChar"/>
    <w:rsid w:val="000D1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1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D1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C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i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8A80-76AE-4B6A-B4C7-CF960107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Agir</cp:lastModifiedBy>
  <cp:revision>17</cp:revision>
  <dcterms:created xsi:type="dcterms:W3CDTF">2012-09-04T14:02:00Z</dcterms:created>
  <dcterms:modified xsi:type="dcterms:W3CDTF">2012-09-05T12:34:00Z</dcterms:modified>
</cp:coreProperties>
</file>