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BB" w:rsidRPr="00DB1DBB" w:rsidRDefault="00DB1DBB" w:rsidP="00DB1DBB">
      <w:pPr>
        <w:spacing w:after="0" w:line="360" w:lineRule="auto"/>
        <w:rPr>
          <w:b/>
        </w:rPr>
      </w:pPr>
      <w:bookmarkStart w:id="0" w:name="_GoBack"/>
      <w:r>
        <w:rPr>
          <w:b/>
          <w:sz w:val="36"/>
          <w:szCs w:val="36"/>
        </w:rPr>
        <w:t xml:space="preserve"> </w:t>
      </w:r>
      <w:r w:rsidRPr="00DB1DBB">
        <w:rPr>
          <w:b/>
          <w:sz w:val="36"/>
          <w:szCs w:val="36"/>
        </w:rPr>
        <w:t>ANULAÇÃO DO PROCESSO LICITATÓRIO Nº 027/2018</w:t>
      </w:r>
      <w:r>
        <w:rPr>
          <w:b/>
          <w:sz w:val="36"/>
          <w:szCs w:val="36"/>
        </w:rPr>
        <w:t xml:space="preserve"> </w:t>
      </w:r>
    </w:p>
    <w:bookmarkEnd w:id="0"/>
    <w:p w:rsidR="00B73791" w:rsidRDefault="00DB1DBB" w:rsidP="002858FF">
      <w:pPr>
        <w:spacing w:after="0" w:line="360" w:lineRule="auto"/>
        <w:jc w:val="both"/>
      </w:pPr>
      <w:r>
        <w:t xml:space="preserve">Elaborado o </w:t>
      </w:r>
      <w:r w:rsidRPr="007E561D">
        <w:rPr>
          <w:b/>
        </w:rPr>
        <w:t>Termo de Referência</w:t>
      </w:r>
      <w:r>
        <w:t xml:space="preserve"> para a contratação de </w:t>
      </w:r>
      <w:r w:rsidR="007E561D" w:rsidRPr="007E561D">
        <w:rPr>
          <w:b/>
        </w:rPr>
        <w:t>CONSULTORIA MENSAL DURANTE O ANO DE 2018 PARA AUXÍLIO E ACOMPANHAMENTO NAS ATIVIDADES RELACIONADAS À FISCALIZAÇÃO E REGULAÇÃO DOS SERVIÇOS PÚBLICOS DE ABASTECIMENTO DE ÁGUA, ESGOTAMENTO SANITÁRIO E RESÍDUOS SÓLIDOS URBANOS NOS CARTOZE MUNICÍPIOS CONSORCIADOS DA AGIR</w:t>
      </w:r>
      <w:r w:rsidR="007E561D">
        <w:rPr>
          <w:b/>
        </w:rPr>
        <w:t xml:space="preserve">, </w:t>
      </w:r>
      <w:r w:rsidR="007E561D">
        <w:t>foi eleito o procedimento de Dispensa de Licitação, dada a singulariedade dos serviços e o máximo de seu valor, no caso de consórcio</w:t>
      </w:r>
      <w:r w:rsidR="007E561D">
        <w:rPr>
          <w:rStyle w:val="Refdenotaderodap"/>
        </w:rPr>
        <w:footnoteReference w:id="1"/>
      </w:r>
      <w:r w:rsidR="007E561D">
        <w:t xml:space="preserve">. As formalidades </w:t>
      </w:r>
      <w:r w:rsidR="002858FF">
        <w:t xml:space="preserve">gerais, à princípio, foram todas obedecidas, com o chamamento de interessados, apresentação da documentação e demais atos. Por intermédio de Memorando Interno de 07/03/2018, foi solicitado o necessário parecer jurídico </w:t>
      </w:r>
      <w:r w:rsidR="004118D7">
        <w:t>que, através</w:t>
      </w:r>
      <w:r w:rsidR="002858FF">
        <w:t xml:space="preserve"> de dez (10) laudas foi juntado ao procedimento.</w:t>
      </w:r>
    </w:p>
    <w:p w:rsidR="00663424" w:rsidRDefault="002858FF" w:rsidP="004118D7">
      <w:pPr>
        <w:spacing w:after="0" w:line="360" w:lineRule="auto"/>
        <w:jc w:val="both"/>
      </w:pPr>
      <w:r>
        <w:t xml:space="preserve">Inicialmente recebo a Análise Jurídica – Processo Licitatório nº 027/2018, a ratifico todos os seus </w:t>
      </w:r>
      <w:r w:rsidR="0002266E">
        <w:t>termos e conclusões, que servem, desse modo, como embasamento</w:t>
      </w:r>
      <w:r w:rsidR="00663424">
        <w:t xml:space="preserve"> legal para a decisão de anular, especialmente naquilo que se refere à divergência de interpretação de </w:t>
      </w:r>
      <w:r w:rsidR="00663424">
        <w:rPr>
          <w:i/>
        </w:rPr>
        <w:t>obra ou serviço de engenharia,</w:t>
      </w:r>
      <w:r w:rsidR="00663424">
        <w:t xml:space="preserve"> (item II); a não identificação do Setor Requisitante (item I); </w:t>
      </w:r>
      <w:r w:rsidR="00C24A4D">
        <w:t>as</w:t>
      </w:r>
      <w:r w:rsidR="00663424">
        <w:t xml:space="preserve"> </w:t>
      </w:r>
      <w:r w:rsidR="004118D7">
        <w:t>incorreções</w:t>
      </w:r>
      <w:r w:rsidR="00663424">
        <w:t xml:space="preserve"> das Cartas-Pesquisa (item III) e </w:t>
      </w:r>
      <w:r w:rsidR="004118D7">
        <w:t>ainda quanto</w:t>
      </w:r>
      <w:r w:rsidR="00663424">
        <w:t xml:space="preserve"> a Análise dos Documentos apresentados (Item IV), do referido parecer jurídico.</w:t>
      </w:r>
    </w:p>
    <w:p w:rsidR="00B73791" w:rsidRDefault="00663424" w:rsidP="004118D7">
      <w:pPr>
        <w:spacing w:after="0" w:line="360" w:lineRule="auto"/>
        <w:jc w:val="both"/>
      </w:pPr>
      <w:r>
        <w:t xml:space="preserve">Diante deste quadro constatam-se </w:t>
      </w:r>
      <w:r w:rsidR="00787A50">
        <w:t>defeitos e falhas das técnicas processuais, tanto no tocante a espe</w:t>
      </w:r>
      <w:r w:rsidR="00C24A4D">
        <w:t>ci</w:t>
      </w:r>
      <w:r w:rsidR="00787A50">
        <w:t xml:space="preserve">ficação do serviço a ser adquirido, dentre os outros </w:t>
      </w:r>
      <w:r w:rsidR="00C24A4D">
        <w:t>apontados que</w:t>
      </w:r>
      <w:r w:rsidR="00787A50">
        <w:t xml:space="preserve"> comprometem os princípios que regem a Lei </w:t>
      </w:r>
      <w:r w:rsidR="00C24A4D">
        <w:t>nº 8.666</w:t>
      </w:r>
      <w:r w:rsidR="00787A50">
        <w:t>/93.</w:t>
      </w:r>
    </w:p>
    <w:p w:rsidR="00787A50" w:rsidRDefault="00787A50" w:rsidP="004118D7">
      <w:pPr>
        <w:spacing w:after="0" w:line="360" w:lineRule="auto"/>
        <w:jc w:val="both"/>
      </w:pPr>
      <w:r>
        <w:t xml:space="preserve">De acordo, portanto com o art. 49, da Lei 8.666/93, revoga-se o Procedimento Licitatório, em razão dos fatos apurados pela análise jurídica, e consequentemente, anula-se pelas ilegalidades apontadas, de ofício, e com fundamento na Súmula STF, de </w:t>
      </w:r>
      <w:r w:rsidR="00C24A4D">
        <w:t>nº 346</w:t>
      </w:r>
      <w:r>
        <w:t>: “A Administração pública pode declarar a nulidade de seus próprios atos.”, em respeito aos princípios da legalidade e da indisponibilidade do interesse público e é sabido que a administração pública, neste caso concreto, está vinculada a lei das licitações, acima citada.</w:t>
      </w:r>
    </w:p>
    <w:p w:rsidR="004118D7" w:rsidRDefault="00787A50" w:rsidP="004118D7">
      <w:pPr>
        <w:spacing w:after="0" w:line="360" w:lineRule="auto"/>
        <w:jc w:val="both"/>
      </w:pPr>
      <w:r>
        <w:lastRenderedPageBreak/>
        <w:t xml:space="preserve">Em respeito </w:t>
      </w:r>
      <w:r w:rsidR="00C24A4D">
        <w:t>à</w:t>
      </w:r>
      <w:r>
        <w:t xml:space="preserve"> lei 8.666/93, em especial em seu artigo </w:t>
      </w:r>
      <w:r w:rsidR="004118D7">
        <w:t xml:space="preserve">49, § 3º, que em caso de desfazimento e </w:t>
      </w:r>
      <w:r w:rsidR="00C24A4D">
        <w:t>ou anulação</w:t>
      </w:r>
      <w:r w:rsidR="004118D7">
        <w:t>, fica garantido o direito ao contraditório e a ampla defesa (CF, art. 5º, LV).</w:t>
      </w:r>
    </w:p>
    <w:p w:rsidR="00B73791" w:rsidRDefault="004118D7" w:rsidP="004118D7">
      <w:pPr>
        <w:spacing w:after="0" w:line="360" w:lineRule="auto"/>
        <w:jc w:val="both"/>
      </w:pPr>
      <w:r>
        <w:t>Em assim sendo, determino a publicação desta decisão no DOM, bem como sejam intimados os participantes, para querendo, apresentar a defesa de seus interesses, no prazo de quinze (15) dias, destacando que, já existe posicionamento do STJ, de que, em se procedendo o desfazimento da licitação antes da adjudicação do objeto e da homologação do certame, o particular declaro vencedor não tem qualquer direito a ser protegido, como se extrai da ementa abaixo:</w:t>
      </w:r>
    </w:p>
    <w:p w:rsidR="004118D7" w:rsidRDefault="004118D7" w:rsidP="004118D7">
      <w:pPr>
        <w:spacing w:after="0" w:line="360" w:lineRule="auto"/>
        <w:jc w:val="both"/>
      </w:pPr>
    </w:p>
    <w:p w:rsidR="004118D7" w:rsidRPr="004118D7" w:rsidRDefault="004118D7" w:rsidP="004118D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82828"/>
          <w:spacing w:val="8"/>
          <w:sz w:val="20"/>
          <w:szCs w:val="20"/>
        </w:rPr>
      </w:pPr>
      <w:r w:rsidRPr="004118D7">
        <w:rPr>
          <w:rFonts w:ascii="Arial" w:hAnsi="Arial" w:cs="Arial"/>
          <w:i/>
          <w:iCs/>
          <w:color w:val="000000"/>
          <w:spacing w:val="8"/>
          <w:sz w:val="20"/>
          <w:szCs w:val="20"/>
        </w:rPr>
        <w:t>ADMINISTRATIVO – LICITAÇÃO – MODALIDADE PREGÃO ELETRÔNICO – REVOGAÇÃO – CONTRADITÓRIO.</w:t>
      </w:r>
    </w:p>
    <w:p w:rsidR="004118D7" w:rsidRPr="004118D7" w:rsidRDefault="004118D7" w:rsidP="004118D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82828"/>
          <w:spacing w:val="8"/>
          <w:sz w:val="20"/>
          <w:szCs w:val="20"/>
        </w:rPr>
      </w:pPr>
      <w:r w:rsidRPr="004118D7">
        <w:rPr>
          <w:rFonts w:ascii="Arial" w:hAnsi="Arial" w:cs="Arial"/>
          <w:i/>
          <w:iCs/>
          <w:color w:val="000000"/>
          <w:spacing w:val="8"/>
          <w:sz w:val="20"/>
          <w:szCs w:val="20"/>
        </w:rPr>
        <w:t>1. Licitação obstada pela revogação por razões de interesse público.</w:t>
      </w:r>
    </w:p>
    <w:p w:rsidR="004118D7" w:rsidRPr="004118D7" w:rsidRDefault="004118D7" w:rsidP="004118D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82828"/>
          <w:spacing w:val="8"/>
          <w:sz w:val="20"/>
          <w:szCs w:val="20"/>
        </w:rPr>
      </w:pPr>
      <w:r w:rsidRPr="004118D7">
        <w:rPr>
          <w:rFonts w:ascii="Arial" w:hAnsi="Arial" w:cs="Arial"/>
          <w:i/>
          <w:iCs/>
          <w:color w:val="000000"/>
          <w:spacing w:val="8"/>
          <w:sz w:val="20"/>
          <w:szCs w:val="20"/>
        </w:rPr>
        <w:t>2. Avaliação, pelo Judiciário, dos motivos de conveniência e oportunidade do administrador, dentro de um procedimento essencialmente vinculado.</w:t>
      </w:r>
    </w:p>
    <w:p w:rsidR="004118D7" w:rsidRPr="004118D7" w:rsidRDefault="004118D7" w:rsidP="004118D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82828"/>
          <w:spacing w:val="8"/>
          <w:sz w:val="20"/>
          <w:szCs w:val="20"/>
        </w:rPr>
      </w:pPr>
      <w:r w:rsidRPr="004118D7">
        <w:rPr>
          <w:rFonts w:ascii="Arial" w:hAnsi="Arial" w:cs="Arial"/>
          <w:i/>
          <w:iCs/>
          <w:color w:val="000000"/>
          <w:spacing w:val="8"/>
          <w:sz w:val="20"/>
          <w:szCs w:val="20"/>
        </w:rPr>
        <w:t>3. Falta de competitividade que se vislumbra pela só participação de duas empresas, com ofertas em valor bem aproximado ao limite máximo estabelecido.</w:t>
      </w:r>
    </w:p>
    <w:p w:rsidR="004118D7" w:rsidRPr="004118D7" w:rsidRDefault="004118D7" w:rsidP="004118D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82828"/>
          <w:spacing w:val="8"/>
          <w:sz w:val="20"/>
          <w:szCs w:val="20"/>
        </w:rPr>
      </w:pPr>
      <w:r w:rsidRPr="004118D7">
        <w:rPr>
          <w:rFonts w:ascii="Arial" w:hAnsi="Arial" w:cs="Arial"/>
          <w:i/>
          <w:iCs/>
          <w:color w:val="000000"/>
          <w:spacing w:val="8"/>
          <w:sz w:val="20"/>
          <w:szCs w:val="20"/>
        </w:rPr>
        <w:t>4. A revogação da licitação, quando antecedente da homologação e adjudicação, é perfeitamente pertinente e não enseja contraditório.</w:t>
      </w:r>
    </w:p>
    <w:p w:rsidR="004118D7" w:rsidRPr="004118D7" w:rsidRDefault="004118D7" w:rsidP="004118D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82828"/>
          <w:spacing w:val="8"/>
          <w:sz w:val="20"/>
          <w:szCs w:val="20"/>
        </w:rPr>
      </w:pPr>
      <w:r w:rsidRPr="004118D7">
        <w:rPr>
          <w:rFonts w:ascii="Arial" w:hAnsi="Arial" w:cs="Arial"/>
          <w:i/>
          <w:iCs/>
          <w:color w:val="000000"/>
          <w:spacing w:val="8"/>
          <w:sz w:val="20"/>
          <w:szCs w:val="20"/>
        </w:rPr>
        <w:t>5. Só há contraditório antecedendo a revogação quando há direito adquirido das empresas concorrentes, o que só ocorre após a homologação e adjudicação do serviço licitado.</w:t>
      </w:r>
    </w:p>
    <w:p w:rsidR="004118D7" w:rsidRPr="004118D7" w:rsidRDefault="004118D7" w:rsidP="004118D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82828"/>
          <w:spacing w:val="8"/>
          <w:sz w:val="20"/>
          <w:szCs w:val="20"/>
        </w:rPr>
      </w:pPr>
      <w:r w:rsidRPr="004118D7">
        <w:rPr>
          <w:rFonts w:ascii="Arial" w:hAnsi="Arial" w:cs="Arial"/>
          <w:i/>
          <w:iCs/>
          <w:color w:val="000000"/>
          <w:spacing w:val="8"/>
          <w:sz w:val="20"/>
          <w:szCs w:val="20"/>
        </w:rPr>
        <w:t>6. O mero titular de uma expectativa de direito não goza da garantia do contraditório.</w:t>
      </w:r>
    </w:p>
    <w:p w:rsidR="004118D7" w:rsidRPr="004118D7" w:rsidRDefault="004118D7" w:rsidP="004118D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82828"/>
          <w:spacing w:val="8"/>
          <w:sz w:val="20"/>
          <w:szCs w:val="20"/>
        </w:rPr>
      </w:pPr>
      <w:r w:rsidRPr="004118D7">
        <w:rPr>
          <w:rFonts w:ascii="Arial" w:hAnsi="Arial" w:cs="Arial"/>
          <w:i/>
          <w:iCs/>
          <w:color w:val="000000"/>
          <w:spacing w:val="8"/>
          <w:sz w:val="20"/>
          <w:szCs w:val="20"/>
        </w:rPr>
        <w:t>7. Recurso ordinário não provido. (STJ, ROMS nº 200602710804, Rel. Eliana Calmon, DJE de 02.04.2008.)</w:t>
      </w:r>
    </w:p>
    <w:p w:rsidR="004118D7" w:rsidRDefault="004118D7" w:rsidP="004118D7">
      <w:pPr>
        <w:spacing w:after="0" w:line="360" w:lineRule="auto"/>
        <w:jc w:val="both"/>
      </w:pPr>
    </w:p>
    <w:p w:rsidR="004118D7" w:rsidRDefault="004118D7" w:rsidP="00B73791">
      <w:pPr>
        <w:spacing w:after="0" w:line="360" w:lineRule="auto"/>
      </w:pPr>
      <w:r>
        <w:t>Essa a decisão para o seu devido e necessário cumprimento.</w:t>
      </w:r>
    </w:p>
    <w:p w:rsidR="004118D7" w:rsidRDefault="004118D7" w:rsidP="00B73791">
      <w:pPr>
        <w:spacing w:after="0" w:line="360" w:lineRule="auto"/>
      </w:pPr>
    </w:p>
    <w:p w:rsidR="004118D7" w:rsidRDefault="004118D7" w:rsidP="00C24A4D">
      <w:pPr>
        <w:spacing w:after="0" w:line="360" w:lineRule="auto"/>
        <w:jc w:val="center"/>
      </w:pPr>
    </w:p>
    <w:p w:rsidR="004118D7" w:rsidRDefault="004118D7" w:rsidP="00C24A4D">
      <w:pPr>
        <w:spacing w:after="0" w:line="360" w:lineRule="auto"/>
        <w:jc w:val="center"/>
      </w:pPr>
      <w:r>
        <w:t xml:space="preserve">Blumenau, 23 de </w:t>
      </w:r>
      <w:r w:rsidR="00C24A4D">
        <w:t>março</w:t>
      </w:r>
      <w:r>
        <w:t xml:space="preserve"> de 2018</w:t>
      </w:r>
    </w:p>
    <w:p w:rsidR="004118D7" w:rsidRDefault="004118D7" w:rsidP="00C24A4D">
      <w:pPr>
        <w:spacing w:after="0" w:line="360" w:lineRule="auto"/>
        <w:jc w:val="center"/>
      </w:pPr>
    </w:p>
    <w:p w:rsidR="004118D7" w:rsidRDefault="004118D7" w:rsidP="00C24A4D">
      <w:pPr>
        <w:spacing w:after="0" w:line="240" w:lineRule="auto"/>
        <w:jc w:val="center"/>
      </w:pPr>
      <w:r>
        <w:t>Heinrich Luiz Pasold</w:t>
      </w:r>
    </w:p>
    <w:p w:rsidR="004118D7" w:rsidRDefault="004118D7" w:rsidP="00C24A4D">
      <w:pPr>
        <w:spacing w:after="0" w:line="240" w:lineRule="auto"/>
        <w:jc w:val="center"/>
      </w:pPr>
      <w:r>
        <w:t>Diretor Geral</w:t>
      </w:r>
    </w:p>
    <w:sectPr w:rsidR="004118D7" w:rsidSect="00EF797F">
      <w:headerReference w:type="default" r:id="rId7"/>
      <w:footerReference w:type="default" r:id="rId8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EA" w:rsidRDefault="006770EA" w:rsidP="00325C33">
      <w:pPr>
        <w:spacing w:after="0" w:line="240" w:lineRule="auto"/>
      </w:pPr>
      <w:r>
        <w:separator/>
      </w:r>
    </w:p>
  </w:endnote>
  <w:endnote w:type="continuationSeparator" w:id="0">
    <w:p w:rsidR="006770EA" w:rsidRDefault="006770EA" w:rsidP="003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33" w:rsidRDefault="005748C8">
    <w:pPr>
      <w:pStyle w:val="Rodap"/>
    </w:pPr>
    <w:r>
      <w:rPr>
        <w:noProof/>
      </w:rPr>
      <w:drawing>
        <wp:inline distT="0" distB="0" distL="0" distR="0" wp14:anchorId="45B06233" wp14:editId="1AB422C9">
          <wp:extent cx="5867400" cy="462915"/>
          <wp:effectExtent l="0" t="0" r="0" b="0"/>
          <wp:docPr id="2" name="Imagem 2" descr="Cabeçalh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C33" w:rsidRDefault="00325C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EA" w:rsidRDefault="006770EA" w:rsidP="00325C33">
      <w:pPr>
        <w:spacing w:after="0" w:line="240" w:lineRule="auto"/>
      </w:pPr>
      <w:r>
        <w:separator/>
      </w:r>
    </w:p>
  </w:footnote>
  <w:footnote w:type="continuationSeparator" w:id="0">
    <w:p w:rsidR="006770EA" w:rsidRDefault="006770EA" w:rsidP="00325C33">
      <w:pPr>
        <w:spacing w:after="0" w:line="240" w:lineRule="auto"/>
      </w:pPr>
      <w:r>
        <w:continuationSeparator/>
      </w:r>
    </w:p>
  </w:footnote>
  <w:footnote w:id="1">
    <w:p w:rsidR="007E561D" w:rsidRPr="007E561D" w:rsidRDefault="007E561D" w:rsidP="007E561D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E561D">
        <w:rPr>
          <w:rStyle w:val="Refdenotaderodap"/>
          <w:rFonts w:ascii="Arial" w:hAnsi="Arial" w:cs="Arial"/>
          <w:sz w:val="20"/>
          <w:szCs w:val="20"/>
        </w:rPr>
        <w:footnoteRef/>
      </w:r>
      <w:r w:rsidRPr="007E561D">
        <w:rPr>
          <w:rFonts w:ascii="Arial" w:hAnsi="Arial" w:cs="Arial"/>
          <w:sz w:val="20"/>
          <w:szCs w:val="20"/>
        </w:rPr>
        <w:t xml:space="preserve"> </w:t>
      </w:r>
      <w:r w:rsidRPr="007E561D">
        <w:rPr>
          <w:rFonts w:ascii="Arial" w:hAnsi="Arial" w:cs="Arial"/>
          <w:color w:val="000000"/>
          <w:sz w:val="20"/>
          <w:szCs w:val="20"/>
        </w:rPr>
        <w:t>  </w:t>
      </w:r>
      <w:bookmarkStart w:id="1" w:name="art17"/>
      <w:bookmarkEnd w:id="1"/>
      <w:r w:rsidRPr="007E561D">
        <w:rPr>
          <w:rFonts w:ascii="Arial" w:hAnsi="Arial" w:cs="Arial"/>
          <w:color w:val="000000"/>
          <w:sz w:val="20"/>
          <w:szCs w:val="20"/>
        </w:rPr>
        <w:t>Art. 17. Os arts. 23, 24, 26 e 112 da Lei n</w:t>
      </w:r>
      <w:r w:rsidRPr="007E561D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7E561D">
        <w:rPr>
          <w:rFonts w:ascii="Arial" w:hAnsi="Arial" w:cs="Arial"/>
          <w:color w:val="000000"/>
          <w:sz w:val="20"/>
          <w:szCs w:val="20"/>
        </w:rPr>
        <w:t> 8.666, de 21 de junho de 1993, passam a vigorar com a seguinte redação:</w:t>
      </w:r>
    </w:p>
    <w:p w:rsidR="007E561D" w:rsidRPr="007E561D" w:rsidRDefault="007E561D" w:rsidP="007E561D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E561D">
        <w:rPr>
          <w:rFonts w:ascii="Arial" w:hAnsi="Arial" w:cs="Arial"/>
          <w:color w:val="000000"/>
          <w:sz w:val="20"/>
          <w:szCs w:val="20"/>
        </w:rPr>
        <w:t>"Art. 23. ...................................................................................</w:t>
      </w:r>
    </w:p>
    <w:p w:rsidR="007E561D" w:rsidRDefault="00057A00">
      <w:pPr>
        <w:pStyle w:val="Textodenotaderodap"/>
      </w:pPr>
      <w:hyperlink r:id="rId1" w:anchor="art23%C2%A78" w:history="1">
        <w:r w:rsidR="007E561D">
          <w:rPr>
            <w:rStyle w:val="Hyperlink"/>
            <w:rFonts w:ascii="Arial" w:hAnsi="Arial" w:cs="Arial"/>
          </w:rPr>
          <w:t>§ 8</w:t>
        </w:r>
        <w:r w:rsidR="007E561D">
          <w:rPr>
            <w:rStyle w:val="Hyperlink"/>
            <w:rFonts w:ascii="Arial" w:hAnsi="Arial" w:cs="Arial"/>
            <w:vertAlign w:val="superscript"/>
          </w:rPr>
          <w:t>o</w:t>
        </w:r>
      </w:hyperlink>
      <w:r w:rsidR="007E561D">
        <w:rPr>
          <w:rFonts w:ascii="Arial" w:hAnsi="Arial" w:cs="Arial"/>
          <w:color w:val="000000"/>
        </w:rPr>
        <w:t> No caso de consórcios públicos, aplicar-se-á o dobro dos valores mencionados no caput deste artigo quando formado por até 3 (três) entes da Federação, e o triplo, quando formado por maior número." (NR)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33" w:rsidRDefault="00F72F17">
    <w:pPr>
      <w:pStyle w:val="Cabealho"/>
    </w:pPr>
    <w:r>
      <w:rPr>
        <w:noProof/>
      </w:rPr>
      <w:drawing>
        <wp:inline distT="0" distB="0" distL="0" distR="0" wp14:anchorId="17493434" wp14:editId="6E647A57">
          <wp:extent cx="5953125" cy="1256665"/>
          <wp:effectExtent l="0" t="0" r="9525" b="635"/>
          <wp:docPr id="3" name="Imagem 3" descr="Y:\Logomarca AGIR\Novo timbre Prê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marca AGIR\Novo timbre Prêm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33"/>
    <w:rsid w:val="0002266E"/>
    <w:rsid w:val="00057A00"/>
    <w:rsid w:val="00087E8A"/>
    <w:rsid w:val="00096995"/>
    <w:rsid w:val="00096E97"/>
    <w:rsid w:val="000F0EAC"/>
    <w:rsid w:val="00127767"/>
    <w:rsid w:val="001C144E"/>
    <w:rsid w:val="002858FF"/>
    <w:rsid w:val="002971A9"/>
    <w:rsid w:val="002A3377"/>
    <w:rsid w:val="002C13AB"/>
    <w:rsid w:val="002E7FED"/>
    <w:rsid w:val="00303C8D"/>
    <w:rsid w:val="00325C33"/>
    <w:rsid w:val="0035183B"/>
    <w:rsid w:val="003F0FA7"/>
    <w:rsid w:val="004118D7"/>
    <w:rsid w:val="00455800"/>
    <w:rsid w:val="00493124"/>
    <w:rsid w:val="005139DE"/>
    <w:rsid w:val="00522BF5"/>
    <w:rsid w:val="00534E5C"/>
    <w:rsid w:val="00556E8C"/>
    <w:rsid w:val="005748C8"/>
    <w:rsid w:val="00616121"/>
    <w:rsid w:val="00663424"/>
    <w:rsid w:val="006770EA"/>
    <w:rsid w:val="006B6182"/>
    <w:rsid w:val="00764BF5"/>
    <w:rsid w:val="007732BA"/>
    <w:rsid w:val="00787A50"/>
    <w:rsid w:val="007A111D"/>
    <w:rsid w:val="007C7A9C"/>
    <w:rsid w:val="007E561D"/>
    <w:rsid w:val="007F32B0"/>
    <w:rsid w:val="00842F7B"/>
    <w:rsid w:val="00887BFE"/>
    <w:rsid w:val="00915CF7"/>
    <w:rsid w:val="0092734F"/>
    <w:rsid w:val="009C0F80"/>
    <w:rsid w:val="009E3842"/>
    <w:rsid w:val="009F6E62"/>
    <w:rsid w:val="00A62850"/>
    <w:rsid w:val="00AD5A77"/>
    <w:rsid w:val="00B30681"/>
    <w:rsid w:val="00B4486D"/>
    <w:rsid w:val="00B73791"/>
    <w:rsid w:val="00B85B1F"/>
    <w:rsid w:val="00BE70D5"/>
    <w:rsid w:val="00C0546E"/>
    <w:rsid w:val="00C24A4D"/>
    <w:rsid w:val="00CE045B"/>
    <w:rsid w:val="00D133D3"/>
    <w:rsid w:val="00D2358E"/>
    <w:rsid w:val="00D71C3C"/>
    <w:rsid w:val="00D84CB0"/>
    <w:rsid w:val="00DB1DBB"/>
    <w:rsid w:val="00DC1E2A"/>
    <w:rsid w:val="00DC4F0D"/>
    <w:rsid w:val="00E60E62"/>
    <w:rsid w:val="00E83F68"/>
    <w:rsid w:val="00EC21B8"/>
    <w:rsid w:val="00EE4A57"/>
    <w:rsid w:val="00EE75C7"/>
    <w:rsid w:val="00EF343E"/>
    <w:rsid w:val="00EF3DA1"/>
    <w:rsid w:val="00EF797F"/>
    <w:rsid w:val="00F33A72"/>
    <w:rsid w:val="00F61FC4"/>
    <w:rsid w:val="00F64454"/>
    <w:rsid w:val="00F67635"/>
    <w:rsid w:val="00F72F17"/>
    <w:rsid w:val="00F80703"/>
    <w:rsid w:val="00F913E7"/>
    <w:rsid w:val="00F94747"/>
    <w:rsid w:val="00FA2FFB"/>
    <w:rsid w:val="00FB4EA6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03A8A6-B00C-4EB5-991B-60C38C77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B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C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C33"/>
  </w:style>
  <w:style w:type="paragraph" w:styleId="Rodap">
    <w:name w:val="footer"/>
    <w:basedOn w:val="Normal"/>
    <w:link w:val="Rodap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C33"/>
  </w:style>
  <w:style w:type="paragraph" w:styleId="PargrafodaLista">
    <w:name w:val="List Paragraph"/>
    <w:basedOn w:val="Normal"/>
    <w:uiPriority w:val="34"/>
    <w:qFormat/>
    <w:rsid w:val="002E7FED"/>
    <w:pPr>
      <w:ind w:left="720"/>
      <w:contextualSpacing/>
    </w:pPr>
  </w:style>
  <w:style w:type="paragraph" w:styleId="SemEspaamento">
    <w:name w:val="No Spacing"/>
    <w:uiPriority w:val="1"/>
    <w:qFormat/>
    <w:rsid w:val="00EC21B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A2FF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nhideWhenUsed/>
    <w:rsid w:val="00FA2FFB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A2FFB"/>
    <w:rPr>
      <w:rFonts w:ascii="Times New Roman" w:eastAsia="Times New Roman" w:hAnsi="Times New Roman"/>
    </w:rPr>
  </w:style>
  <w:style w:type="character" w:styleId="Hyperlink">
    <w:name w:val="Hyperlink"/>
    <w:rsid w:val="00CE04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E0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F61F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1FC4"/>
    <w:rPr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561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561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E561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561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561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5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8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90B9-51EC-4A4F-93D0-4C8278FD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Heinrich Luiz Pasold</cp:lastModifiedBy>
  <cp:revision>2</cp:revision>
  <cp:lastPrinted>2018-04-23T18:39:00Z</cp:lastPrinted>
  <dcterms:created xsi:type="dcterms:W3CDTF">2018-04-26T18:37:00Z</dcterms:created>
  <dcterms:modified xsi:type="dcterms:W3CDTF">2018-04-26T18:37:00Z</dcterms:modified>
</cp:coreProperties>
</file>